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A4686"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Załącznik do uchwały nr 9 </w:t>
      </w:r>
    </w:p>
    <w:p w14:paraId="3F4073AC"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 xml:space="preserve">Komitetu Rady Ministrów do Spraw Cyfryzacji </w:t>
      </w:r>
    </w:p>
    <w:p w14:paraId="26A26407" w14:textId="77777777" w:rsidR="005548F2" w:rsidRPr="007541BD" w:rsidRDefault="005548F2" w:rsidP="005548F2">
      <w:pPr>
        <w:tabs>
          <w:tab w:val="left" w:pos="708"/>
          <w:tab w:val="left" w:pos="1416"/>
          <w:tab w:val="center" w:pos="4748"/>
        </w:tabs>
        <w:spacing w:before="180" w:after="0"/>
        <w:ind w:firstLine="425"/>
        <w:jc w:val="right"/>
        <w:rPr>
          <w:rFonts w:ascii="Arial" w:hAnsi="Arial" w:cs="Arial"/>
          <w:b/>
          <w:sz w:val="20"/>
          <w:szCs w:val="20"/>
        </w:rPr>
      </w:pPr>
      <w:r w:rsidRPr="007541BD">
        <w:rPr>
          <w:rFonts w:ascii="Arial" w:hAnsi="Arial" w:cs="Arial"/>
          <w:b/>
          <w:sz w:val="20"/>
          <w:szCs w:val="20"/>
        </w:rPr>
        <w:t>z dnia</w:t>
      </w:r>
      <w:r>
        <w:rPr>
          <w:rFonts w:ascii="Arial" w:hAnsi="Arial" w:cs="Arial"/>
          <w:b/>
          <w:sz w:val="20"/>
          <w:szCs w:val="20"/>
        </w:rPr>
        <w:t xml:space="preserve"> 26 </w:t>
      </w:r>
      <w:r w:rsidRPr="007541BD">
        <w:rPr>
          <w:rFonts w:ascii="Arial" w:hAnsi="Arial" w:cs="Arial"/>
          <w:b/>
          <w:sz w:val="20"/>
          <w:szCs w:val="20"/>
        </w:rPr>
        <w:t xml:space="preserve">września 2019 r.  </w:t>
      </w:r>
    </w:p>
    <w:p w14:paraId="165A9D9F" w14:textId="77777777" w:rsidR="005548F2" w:rsidRDefault="005548F2" w:rsidP="00DE731D">
      <w:pPr>
        <w:tabs>
          <w:tab w:val="left" w:pos="708"/>
          <w:tab w:val="left" w:pos="1416"/>
          <w:tab w:val="center" w:pos="4748"/>
        </w:tabs>
        <w:spacing w:before="180" w:after="0"/>
        <w:ind w:firstLine="425"/>
        <w:jc w:val="center"/>
        <w:rPr>
          <w:rFonts w:ascii="Arial" w:hAnsi="Arial" w:cs="Arial"/>
          <w:b/>
          <w:sz w:val="26"/>
          <w:szCs w:val="26"/>
        </w:rPr>
      </w:pPr>
    </w:p>
    <w:p w14:paraId="65A4C933" w14:textId="37EBE59B" w:rsidR="008A332F" w:rsidRDefault="00D10E2F" w:rsidP="002B50C0">
      <w:pPr>
        <w:pStyle w:val="Nagwek1"/>
        <w:spacing w:before="0" w:after="120" w:line="240" w:lineRule="auto"/>
        <w:jc w:val="center"/>
        <w:rPr>
          <w:rFonts w:ascii="Arial" w:hAnsi="Arial" w:cs="Arial"/>
          <w:b/>
          <w:color w:val="auto"/>
          <w:sz w:val="24"/>
          <w:szCs w:val="24"/>
        </w:rPr>
      </w:pPr>
      <w:r>
        <w:rPr>
          <w:rFonts w:ascii="Arial" w:hAnsi="Arial" w:cs="Arial"/>
          <w:b/>
          <w:color w:val="auto"/>
          <w:sz w:val="24"/>
          <w:szCs w:val="24"/>
        </w:rPr>
        <w:t>R</w:t>
      </w:r>
      <w:r w:rsidR="008C6721" w:rsidRPr="002B50C0">
        <w:rPr>
          <w:rFonts w:ascii="Arial" w:hAnsi="Arial" w:cs="Arial"/>
          <w:b/>
          <w:color w:val="auto"/>
          <w:sz w:val="24"/>
          <w:szCs w:val="24"/>
        </w:rPr>
        <w:t xml:space="preserve">aport z postępu rzeczowo-finansowego projektu informatycznego </w:t>
      </w:r>
    </w:p>
    <w:p w14:paraId="2FDCE0E5" w14:textId="4461EC7C" w:rsidR="008A332F" w:rsidRPr="006717C5" w:rsidRDefault="008C6721" w:rsidP="006717C5">
      <w:pPr>
        <w:pStyle w:val="Nagwek1"/>
        <w:spacing w:before="0" w:after="120" w:line="240" w:lineRule="auto"/>
        <w:jc w:val="center"/>
        <w:rPr>
          <w:rFonts w:ascii="Arial" w:hAnsi="Arial" w:cs="Arial"/>
          <w:b/>
          <w:color w:val="auto"/>
          <w:sz w:val="24"/>
          <w:szCs w:val="24"/>
        </w:rPr>
      </w:pPr>
      <w:r w:rsidRPr="002B50C0">
        <w:rPr>
          <w:rFonts w:ascii="Arial" w:hAnsi="Arial" w:cs="Arial"/>
          <w:b/>
          <w:color w:val="auto"/>
          <w:sz w:val="24"/>
          <w:szCs w:val="24"/>
        </w:rPr>
        <w:t xml:space="preserve">za </w:t>
      </w:r>
      <w:r w:rsidR="006717C5">
        <w:rPr>
          <w:rFonts w:ascii="Arial" w:hAnsi="Arial" w:cs="Arial"/>
          <w:b/>
          <w:color w:val="auto"/>
          <w:sz w:val="24"/>
          <w:szCs w:val="24"/>
        </w:rPr>
        <w:t>I</w:t>
      </w:r>
      <w:r w:rsidR="006F7AE7">
        <w:rPr>
          <w:rFonts w:ascii="Arial" w:hAnsi="Arial" w:cs="Arial"/>
          <w:b/>
          <w:color w:val="auto"/>
          <w:sz w:val="24"/>
          <w:szCs w:val="24"/>
        </w:rPr>
        <w:t>V</w:t>
      </w:r>
      <w:r w:rsidR="006717C5" w:rsidRPr="002B50C0">
        <w:rPr>
          <w:rFonts w:ascii="Arial" w:hAnsi="Arial" w:cs="Arial"/>
          <w:b/>
          <w:color w:val="auto"/>
          <w:sz w:val="24"/>
          <w:szCs w:val="24"/>
        </w:rPr>
        <w:t xml:space="preserve"> </w:t>
      </w:r>
      <w:r w:rsidRPr="002B50C0">
        <w:rPr>
          <w:rFonts w:ascii="Arial" w:hAnsi="Arial" w:cs="Arial"/>
          <w:b/>
          <w:color w:val="auto"/>
          <w:sz w:val="24"/>
          <w:szCs w:val="24"/>
        </w:rPr>
        <w:t xml:space="preserve">kwartał </w:t>
      </w:r>
      <w:r w:rsidR="006717C5">
        <w:rPr>
          <w:rFonts w:ascii="Arial" w:hAnsi="Arial" w:cs="Arial"/>
          <w:b/>
          <w:color w:val="auto"/>
          <w:sz w:val="24"/>
          <w:szCs w:val="24"/>
        </w:rPr>
        <w:t xml:space="preserve">2019 </w:t>
      </w:r>
      <w:r w:rsidRPr="002B50C0">
        <w:rPr>
          <w:rFonts w:ascii="Arial" w:hAnsi="Arial" w:cs="Arial"/>
          <w:b/>
          <w:color w:val="auto"/>
          <w:sz w:val="24"/>
          <w:szCs w:val="24"/>
        </w:rPr>
        <w:t>roku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Caption w:val="Informacje ogólne o projekcie informatycznym."/>
      </w:tblPr>
      <w:tblGrid>
        <w:gridCol w:w="2689"/>
        <w:gridCol w:w="6372"/>
      </w:tblGrid>
      <w:tr w:rsidR="006717C5" w:rsidRPr="002B50C0" w14:paraId="4EB54A58"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52059139"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Tytuł 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3AA107CE" w14:textId="130269B6" w:rsidR="006717C5" w:rsidRPr="002B50C0" w:rsidRDefault="006717C5" w:rsidP="006717C5">
            <w:pPr>
              <w:spacing w:line="276" w:lineRule="auto"/>
              <w:rPr>
                <w:rFonts w:ascii="Arial" w:hAnsi="Arial" w:cs="Arial"/>
                <w:i/>
                <w:color w:val="0070C0"/>
                <w:sz w:val="20"/>
              </w:rPr>
            </w:pPr>
            <w:r w:rsidRPr="00F528B3">
              <w:rPr>
                <w:rFonts w:cstheme="minorHAnsi"/>
                <w:sz w:val="18"/>
                <w:szCs w:val="18"/>
              </w:rPr>
              <w:t>„e-Puszcza. Podlaskie cyfrowe repozytorium przyrodniczych danych naukowych”</w:t>
            </w:r>
          </w:p>
        </w:tc>
      </w:tr>
      <w:tr w:rsidR="006717C5" w:rsidRPr="002B50C0" w14:paraId="05B59807"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1BF1EA0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Wnioskodawca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AAB38FA" w14:textId="74B7AB7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30196F" w14:paraId="719B01E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29609C7" w14:textId="3856606D" w:rsidR="006717C5" w:rsidRPr="00725708" w:rsidRDefault="006717C5" w:rsidP="006717C5">
            <w:pPr>
              <w:spacing w:after="120" w:line="240" w:lineRule="auto"/>
              <w:rPr>
                <w:rFonts w:ascii="Arial" w:hAnsi="Arial" w:cs="Arial"/>
                <w:b/>
                <w:sz w:val="24"/>
                <w:szCs w:val="24"/>
              </w:rPr>
            </w:pPr>
            <w:r w:rsidRPr="00725708">
              <w:rPr>
                <w:rFonts w:ascii="Arial" w:hAnsi="Arial" w:cs="Arial"/>
                <w:b/>
                <w:sz w:val="24"/>
                <w:szCs w:val="24"/>
              </w:rPr>
              <w:t>Beneficjent</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7101EAD6" w14:textId="7D29930E" w:rsidR="006717C5" w:rsidRPr="006822BC" w:rsidRDefault="006717C5" w:rsidP="006717C5">
            <w:pPr>
              <w:spacing w:line="276" w:lineRule="auto"/>
              <w:rPr>
                <w:rFonts w:ascii="Arial" w:hAnsi="Arial" w:cs="Arial"/>
                <w:color w:val="0070C0"/>
                <w:sz w:val="18"/>
                <w:szCs w:val="18"/>
              </w:rPr>
            </w:pPr>
            <w:r w:rsidRPr="00F528B3">
              <w:rPr>
                <w:rFonts w:cstheme="minorHAnsi"/>
                <w:sz w:val="18"/>
                <w:szCs w:val="18"/>
              </w:rPr>
              <w:t>Instytut Biologii Ssaków Polskiej Akademii Nauk</w:t>
            </w:r>
          </w:p>
        </w:tc>
      </w:tr>
      <w:tr w:rsidR="006717C5" w:rsidRPr="002B50C0" w14:paraId="3FF7E21D"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62A43BE7" w14:textId="7B363E95" w:rsidR="006717C5" w:rsidRPr="008A332F" w:rsidRDefault="006717C5" w:rsidP="006717C5">
            <w:pPr>
              <w:spacing w:after="120" w:line="240" w:lineRule="auto"/>
              <w:rPr>
                <w:rFonts w:ascii="Arial" w:hAnsi="Arial" w:cs="Arial"/>
                <w:b/>
                <w:sz w:val="24"/>
                <w:szCs w:val="24"/>
              </w:rPr>
            </w:pPr>
            <w:r>
              <w:rPr>
                <w:rFonts w:ascii="Arial" w:hAnsi="Arial" w:cs="Arial"/>
                <w:b/>
                <w:sz w:val="24"/>
                <w:szCs w:val="24"/>
              </w:rPr>
              <w:t>Partnerzy</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519AF00C" w14:textId="3EFB8203" w:rsidR="006717C5" w:rsidRPr="00141A92" w:rsidRDefault="006717C5" w:rsidP="006717C5">
            <w:pPr>
              <w:spacing w:line="276" w:lineRule="auto"/>
              <w:rPr>
                <w:rFonts w:ascii="Arial" w:hAnsi="Arial" w:cs="Arial"/>
                <w:i/>
                <w:color w:val="0070C0"/>
                <w:sz w:val="18"/>
                <w:szCs w:val="18"/>
              </w:rPr>
            </w:pPr>
            <w:r w:rsidRPr="00F528B3">
              <w:rPr>
                <w:rFonts w:cstheme="minorHAnsi"/>
                <w:sz w:val="18"/>
                <w:szCs w:val="18"/>
              </w:rPr>
              <w:t>Politechnika Białostocka</w:t>
            </w:r>
          </w:p>
        </w:tc>
      </w:tr>
      <w:tr w:rsidR="006717C5" w:rsidRPr="002B50C0" w14:paraId="31CB12D6"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3AA3FA3" w14:textId="777777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Źródło finansowania</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8922C35" w14:textId="77777777" w:rsidR="006717C5" w:rsidRPr="00F528B3" w:rsidRDefault="006717C5" w:rsidP="006717C5">
            <w:pPr>
              <w:spacing w:line="276" w:lineRule="auto"/>
              <w:rPr>
                <w:rFonts w:cstheme="minorHAnsi"/>
                <w:sz w:val="18"/>
                <w:szCs w:val="18"/>
              </w:rPr>
            </w:pPr>
            <w:r w:rsidRPr="00F528B3">
              <w:rPr>
                <w:rFonts w:cstheme="minorHAnsi"/>
                <w:sz w:val="18"/>
                <w:szCs w:val="18"/>
              </w:rPr>
              <w:t>Program Operacyjny Polska Cyfrowa,</w:t>
            </w:r>
          </w:p>
          <w:p w14:paraId="6AB6957D" w14:textId="77777777" w:rsidR="006717C5" w:rsidRPr="00F528B3" w:rsidRDefault="006717C5" w:rsidP="006717C5">
            <w:pPr>
              <w:spacing w:line="276" w:lineRule="auto"/>
              <w:rPr>
                <w:rFonts w:cstheme="minorHAnsi"/>
                <w:sz w:val="18"/>
                <w:szCs w:val="18"/>
              </w:rPr>
            </w:pPr>
            <w:r w:rsidRPr="00F528B3">
              <w:rPr>
                <w:rFonts w:cstheme="minorHAnsi"/>
                <w:sz w:val="18"/>
                <w:szCs w:val="18"/>
              </w:rPr>
              <w:t>2.3 Cyfrowa dostępność i użyteczność informacji sektora publicznego</w:t>
            </w:r>
          </w:p>
          <w:p w14:paraId="7991CB00" w14:textId="77777777" w:rsidR="006717C5" w:rsidRPr="00F528B3" w:rsidRDefault="006717C5" w:rsidP="006717C5">
            <w:pPr>
              <w:spacing w:line="276" w:lineRule="auto"/>
              <w:rPr>
                <w:rFonts w:cstheme="minorHAnsi"/>
                <w:sz w:val="18"/>
                <w:szCs w:val="18"/>
              </w:rPr>
            </w:pPr>
            <w:r w:rsidRPr="00F528B3">
              <w:rPr>
                <w:rFonts w:cstheme="minorHAnsi"/>
                <w:sz w:val="18"/>
                <w:szCs w:val="18"/>
              </w:rPr>
              <w:t>2.3.1 Cyfrowe udostępnienie informacji sektora publicznego ze źródeł administracyjnych i zasobów nauki</w:t>
            </w:r>
          </w:p>
          <w:p w14:paraId="55582688" w14:textId="1D3845CD" w:rsidR="006717C5" w:rsidRPr="00141A92" w:rsidRDefault="006717C5" w:rsidP="006717C5">
            <w:pPr>
              <w:spacing w:line="276" w:lineRule="auto"/>
              <w:rPr>
                <w:rFonts w:ascii="Arial" w:hAnsi="Arial" w:cs="Arial"/>
                <w:color w:val="0070C0"/>
                <w:sz w:val="18"/>
                <w:szCs w:val="18"/>
              </w:rPr>
            </w:pPr>
            <w:r w:rsidRPr="00F528B3">
              <w:rPr>
                <w:rFonts w:cstheme="minorHAnsi"/>
                <w:sz w:val="18"/>
                <w:szCs w:val="18"/>
              </w:rPr>
              <w:t>część budżetowa nr 27 - informatyzacja</w:t>
            </w:r>
          </w:p>
        </w:tc>
      </w:tr>
      <w:tr w:rsidR="006717C5" w:rsidRPr="002B50C0" w14:paraId="2772BBC9"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4704BC60" w14:textId="5A7921D0" w:rsidR="006717C5" w:rsidRDefault="006717C5" w:rsidP="006717C5">
            <w:pPr>
              <w:spacing w:after="0" w:line="240" w:lineRule="auto"/>
              <w:rPr>
                <w:rFonts w:ascii="Arial" w:hAnsi="Arial" w:cs="Arial"/>
                <w:b/>
                <w:sz w:val="24"/>
                <w:szCs w:val="24"/>
              </w:rPr>
            </w:pPr>
            <w:r w:rsidRPr="008A332F">
              <w:rPr>
                <w:rFonts w:ascii="Arial" w:hAnsi="Arial" w:cs="Arial"/>
                <w:b/>
                <w:sz w:val="24"/>
                <w:szCs w:val="24"/>
              </w:rPr>
              <w:t xml:space="preserve">Całkowity koszt </w:t>
            </w:r>
          </w:p>
          <w:p w14:paraId="569E7701" w14:textId="1BBB97DA"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8484459" w14:textId="7F96F801" w:rsidR="00D46DE2" w:rsidRPr="00CE61E6" w:rsidRDefault="00D46DE2" w:rsidP="006717C5">
            <w:pPr>
              <w:spacing w:line="276" w:lineRule="auto"/>
              <w:rPr>
                <w:rFonts w:cstheme="minorHAnsi"/>
                <w:sz w:val="18"/>
                <w:szCs w:val="18"/>
              </w:rPr>
            </w:pPr>
            <w:r w:rsidRPr="00CE61E6">
              <w:rPr>
                <w:rFonts w:cstheme="minorHAnsi"/>
                <w:sz w:val="18"/>
                <w:szCs w:val="18"/>
              </w:rPr>
              <w:t>7 846 937,80</w:t>
            </w:r>
            <w:r w:rsidR="00CE61E6">
              <w:rPr>
                <w:rFonts w:cstheme="minorHAnsi"/>
                <w:sz w:val="18"/>
                <w:szCs w:val="18"/>
              </w:rPr>
              <w:t xml:space="preserve"> zł</w:t>
            </w:r>
          </w:p>
        </w:tc>
      </w:tr>
      <w:tr w:rsidR="005212C8" w:rsidRPr="002B50C0" w14:paraId="6CD831AF"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9BABBBD" w14:textId="7BFB7A76" w:rsidR="005212C8" w:rsidRPr="008A332F" w:rsidRDefault="005212C8" w:rsidP="008A332F">
            <w:pPr>
              <w:spacing w:after="0" w:line="240" w:lineRule="auto"/>
              <w:rPr>
                <w:rFonts w:ascii="Arial" w:hAnsi="Arial" w:cs="Arial"/>
                <w:b/>
                <w:sz w:val="24"/>
                <w:szCs w:val="24"/>
              </w:rPr>
            </w:pPr>
            <w:r>
              <w:rPr>
                <w:rFonts w:ascii="Arial" w:hAnsi="Arial" w:cs="Arial"/>
                <w:b/>
                <w:sz w:val="24"/>
                <w:szCs w:val="24"/>
              </w:rPr>
              <w:t xml:space="preserve">Całkowity koszt </w:t>
            </w:r>
            <w:r w:rsidR="006C78AE">
              <w:rPr>
                <w:rFonts w:ascii="Arial" w:hAnsi="Arial" w:cs="Arial"/>
                <w:b/>
                <w:sz w:val="24"/>
                <w:szCs w:val="24"/>
              </w:rPr>
              <w:t xml:space="preserve">projektu </w:t>
            </w:r>
            <w:r>
              <w:rPr>
                <w:rFonts w:ascii="Arial" w:hAnsi="Arial" w:cs="Arial"/>
                <w:b/>
                <w:sz w:val="24"/>
                <w:szCs w:val="24"/>
              </w:rPr>
              <w:t>- wydatki kwalifikowalne</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tcPr>
          <w:p w14:paraId="6BC12C95" w14:textId="54C1308D" w:rsidR="005212C8" w:rsidRPr="00CE61E6" w:rsidRDefault="00D46DE2">
            <w:pPr>
              <w:spacing w:line="276" w:lineRule="auto"/>
              <w:rPr>
                <w:rFonts w:cstheme="minorHAnsi"/>
                <w:sz w:val="18"/>
                <w:szCs w:val="18"/>
              </w:rPr>
            </w:pPr>
            <w:r w:rsidRPr="00F528B3">
              <w:rPr>
                <w:rFonts w:cstheme="minorHAnsi"/>
                <w:sz w:val="18"/>
                <w:szCs w:val="18"/>
              </w:rPr>
              <w:t>7</w:t>
            </w:r>
            <w:r w:rsidR="00CE61E6">
              <w:rPr>
                <w:rFonts w:cstheme="minorHAnsi"/>
                <w:sz w:val="18"/>
                <w:szCs w:val="18"/>
              </w:rPr>
              <w:t> </w:t>
            </w:r>
            <w:r w:rsidRPr="00F528B3">
              <w:rPr>
                <w:rFonts w:cstheme="minorHAnsi"/>
                <w:sz w:val="18"/>
                <w:szCs w:val="18"/>
              </w:rPr>
              <w:t>822</w:t>
            </w:r>
            <w:r w:rsidR="00CE61E6">
              <w:rPr>
                <w:rFonts w:cstheme="minorHAnsi"/>
                <w:sz w:val="18"/>
                <w:szCs w:val="18"/>
              </w:rPr>
              <w:t xml:space="preserve"> </w:t>
            </w:r>
            <w:r w:rsidRPr="00F528B3">
              <w:rPr>
                <w:rFonts w:cstheme="minorHAnsi"/>
                <w:sz w:val="18"/>
                <w:szCs w:val="18"/>
              </w:rPr>
              <w:t>628,86 zł</w:t>
            </w:r>
          </w:p>
        </w:tc>
      </w:tr>
      <w:tr w:rsidR="006717C5" w:rsidRPr="002B50C0" w14:paraId="716F76F2" w14:textId="77777777" w:rsidTr="008A332F">
        <w:trPr>
          <w:trHeight w:val="57"/>
        </w:trPr>
        <w:tc>
          <w:tcPr>
            <w:tcW w:w="1484"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hideMark/>
          </w:tcPr>
          <w:p w14:paraId="2E37FDA2" w14:textId="77777777" w:rsidR="006717C5" w:rsidRDefault="006717C5" w:rsidP="006717C5">
            <w:pPr>
              <w:spacing w:after="0" w:line="240" w:lineRule="auto"/>
              <w:rPr>
                <w:rFonts w:ascii="Arial" w:hAnsi="Arial" w:cs="Arial"/>
                <w:b/>
                <w:sz w:val="24"/>
                <w:szCs w:val="24"/>
              </w:rPr>
            </w:pPr>
            <w:r>
              <w:rPr>
                <w:rFonts w:ascii="Arial" w:hAnsi="Arial" w:cs="Arial"/>
                <w:b/>
                <w:sz w:val="24"/>
                <w:szCs w:val="24"/>
              </w:rPr>
              <w:t>O</w:t>
            </w:r>
            <w:r w:rsidRPr="008A332F">
              <w:rPr>
                <w:rFonts w:ascii="Arial" w:hAnsi="Arial" w:cs="Arial"/>
                <w:b/>
                <w:sz w:val="24"/>
                <w:szCs w:val="24"/>
              </w:rPr>
              <w:t xml:space="preserve">kres realizacji </w:t>
            </w:r>
          </w:p>
          <w:p w14:paraId="779AE35C" w14:textId="3509EF77" w:rsidR="006717C5" w:rsidRPr="008A332F" w:rsidRDefault="006717C5" w:rsidP="006717C5">
            <w:pPr>
              <w:spacing w:after="120" w:line="240" w:lineRule="auto"/>
              <w:rPr>
                <w:rFonts w:ascii="Arial" w:hAnsi="Arial" w:cs="Arial"/>
                <w:b/>
                <w:sz w:val="24"/>
                <w:szCs w:val="24"/>
              </w:rPr>
            </w:pPr>
            <w:r w:rsidRPr="008A332F">
              <w:rPr>
                <w:rFonts w:ascii="Arial" w:hAnsi="Arial" w:cs="Arial"/>
                <w:b/>
                <w:sz w:val="24"/>
                <w:szCs w:val="24"/>
              </w:rPr>
              <w:t>projektu</w:t>
            </w:r>
          </w:p>
        </w:tc>
        <w:tc>
          <w:tcPr>
            <w:tcW w:w="3516"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10D7B69D" w14:textId="77777777" w:rsidR="006717C5" w:rsidRPr="00F528B3" w:rsidRDefault="006717C5" w:rsidP="006717C5">
            <w:pPr>
              <w:spacing w:line="276" w:lineRule="auto"/>
              <w:rPr>
                <w:rFonts w:cstheme="minorHAnsi"/>
                <w:sz w:val="18"/>
                <w:szCs w:val="18"/>
              </w:rPr>
            </w:pPr>
            <w:r w:rsidRPr="00F528B3">
              <w:rPr>
                <w:rFonts w:cstheme="minorHAnsi"/>
                <w:sz w:val="18"/>
                <w:szCs w:val="18"/>
              </w:rPr>
              <w:t xml:space="preserve">data rozpoczęcia realizacji projektu: 28 lutego 2019 r. </w:t>
            </w:r>
          </w:p>
          <w:p w14:paraId="55CE9679" w14:textId="3E856540" w:rsidR="006717C5" w:rsidRPr="006717C5" w:rsidRDefault="006717C5" w:rsidP="006717C5">
            <w:pPr>
              <w:spacing w:after="0"/>
              <w:rPr>
                <w:rFonts w:ascii="Arial" w:hAnsi="Arial" w:cs="Arial"/>
                <w:i/>
                <w:color w:val="0070C0"/>
                <w:sz w:val="18"/>
                <w:szCs w:val="18"/>
              </w:rPr>
            </w:pPr>
            <w:r w:rsidRPr="006717C5">
              <w:rPr>
                <w:rFonts w:cstheme="minorHAnsi"/>
                <w:sz w:val="18"/>
                <w:szCs w:val="18"/>
              </w:rPr>
              <w:t>data zakończenia realizacji projektu: 27 lutego 2022 r.</w:t>
            </w:r>
          </w:p>
        </w:tc>
      </w:tr>
    </w:tbl>
    <w:p w14:paraId="30071234" w14:textId="638D0C5F" w:rsidR="00CA516B" w:rsidRPr="00141A92" w:rsidRDefault="004C1D48" w:rsidP="002B6F21">
      <w:pPr>
        <w:pStyle w:val="Nagwek2"/>
        <w:numPr>
          <w:ilvl w:val="0"/>
          <w:numId w:val="19"/>
        </w:numPr>
        <w:spacing w:before="360"/>
        <w:ind w:left="284" w:right="282" w:hanging="284"/>
        <w:rPr>
          <w:rFonts w:ascii="Arial" w:hAnsi="Arial" w:cs="Arial"/>
          <w:b/>
          <w:color w:val="auto"/>
          <w:sz w:val="24"/>
          <w:szCs w:val="24"/>
        </w:rPr>
      </w:pPr>
      <w:r w:rsidRPr="00141A92">
        <w:rPr>
          <w:rFonts w:ascii="Arial" w:hAnsi="Arial" w:cs="Arial"/>
          <w:b/>
          <w:color w:val="auto"/>
          <w:sz w:val="24"/>
          <w:szCs w:val="24"/>
        </w:rPr>
        <w:t>Otoczenie</w:t>
      </w:r>
      <w:r w:rsidR="00CA516B" w:rsidRPr="00141A92">
        <w:rPr>
          <w:rFonts w:ascii="Arial" w:hAnsi="Arial" w:cs="Arial"/>
          <w:b/>
          <w:color w:val="auto"/>
          <w:sz w:val="24"/>
          <w:szCs w:val="24"/>
        </w:rPr>
        <w:t xml:space="preserve"> prawne</w:t>
      </w:r>
      <w:r w:rsidR="00DC39A9">
        <w:rPr>
          <w:rFonts w:ascii="Arial" w:hAnsi="Arial" w:cs="Arial"/>
          <w:b/>
          <w:color w:val="auto"/>
          <w:sz w:val="24"/>
          <w:szCs w:val="24"/>
        </w:rPr>
        <w:t xml:space="preserve"> </w:t>
      </w:r>
      <w:r w:rsidR="00DC39A9" w:rsidRPr="00DC39A9">
        <w:rPr>
          <w:rFonts w:ascii="Arial" w:eastAsiaTheme="minorHAnsi" w:hAnsi="Arial" w:cs="Arial"/>
          <w:color w:val="767171" w:themeColor="background2" w:themeShade="80"/>
          <w:sz w:val="20"/>
          <w:szCs w:val="20"/>
        </w:rPr>
        <w:t>&lt;maksymalnie 1000 znaków&gt;</w:t>
      </w:r>
    </w:p>
    <w:p w14:paraId="59F7DA39" w14:textId="3F27B65A" w:rsidR="004C1D48" w:rsidRPr="00F25348" w:rsidRDefault="004C1D48" w:rsidP="0062054D">
      <w:pPr>
        <w:pStyle w:val="Nagwek3"/>
        <w:spacing w:after="360"/>
        <w:ind w:left="284" w:hanging="284"/>
        <w:rPr>
          <w:rFonts w:ascii="Arial" w:eastAsiaTheme="minorHAnsi" w:hAnsi="Arial" w:cs="Arial"/>
          <w:color w:val="767171" w:themeColor="background2" w:themeShade="80"/>
          <w:sz w:val="18"/>
          <w:szCs w:val="18"/>
        </w:rPr>
      </w:pPr>
      <w:r w:rsidRPr="002B50C0">
        <w:rPr>
          <w:rFonts w:ascii="Arial" w:hAnsi="Arial" w:cs="Arial"/>
        </w:rPr>
        <w:t xml:space="preserve"> </w:t>
      </w:r>
      <w:r w:rsidR="00F2008A" w:rsidRPr="002B50C0">
        <w:rPr>
          <w:rFonts w:ascii="Arial" w:hAnsi="Arial" w:cs="Arial"/>
        </w:rPr>
        <w:tab/>
      </w:r>
      <w:r w:rsidR="006717C5" w:rsidRPr="00F528B3">
        <w:rPr>
          <w:rFonts w:asciiTheme="minorHAnsi" w:hAnsiTheme="minorHAnsi" w:cstheme="minorHAnsi"/>
          <w:color w:val="auto"/>
          <w:sz w:val="18"/>
          <w:szCs w:val="18"/>
        </w:rPr>
        <w:t>Przedsięwzięcie nie wymagało i nie wymaga zmian stanu prawnego, realizacja projektu przebiega w istniejących uwarunkowaniach organizacyjnych i prawnych wnioskodawcy i otoczenia wnioskodawcy; opiera się na obowiązujących uwarunkowaniach prawnych.</w:t>
      </w:r>
    </w:p>
    <w:p w14:paraId="147B986C" w14:textId="7DF867C4" w:rsidR="003C7325" w:rsidRPr="00141A92" w:rsidRDefault="00E35401" w:rsidP="00141A92">
      <w:pPr>
        <w:pStyle w:val="Nagwek2"/>
        <w:numPr>
          <w:ilvl w:val="0"/>
          <w:numId w:val="19"/>
        </w:numPr>
        <w:ind w:left="426" w:hanging="426"/>
        <w:rPr>
          <w:rFonts w:ascii="Arial" w:eastAsiaTheme="minorHAnsi" w:hAnsi="Arial" w:cs="Arial"/>
          <w:b/>
          <w:i/>
          <w:color w:val="auto"/>
          <w:sz w:val="24"/>
          <w:szCs w:val="24"/>
        </w:rPr>
      </w:pPr>
      <w:r w:rsidRPr="00141A92">
        <w:rPr>
          <w:rFonts w:ascii="Arial" w:hAnsi="Arial" w:cs="Arial"/>
          <w:b/>
          <w:color w:val="auto"/>
          <w:sz w:val="24"/>
          <w:szCs w:val="24"/>
        </w:rPr>
        <w:t>Postęp</w:t>
      </w:r>
      <w:r w:rsidR="00F2008A" w:rsidRPr="00141A92">
        <w:rPr>
          <w:rFonts w:ascii="Arial" w:hAnsi="Arial" w:cs="Arial"/>
          <w:b/>
          <w:color w:val="auto"/>
          <w:sz w:val="24"/>
          <w:szCs w:val="24"/>
        </w:rPr>
        <w:t xml:space="preserve"> </w:t>
      </w:r>
      <w:r w:rsidRPr="00141A92">
        <w:rPr>
          <w:rFonts w:ascii="Arial" w:hAnsi="Arial" w:cs="Arial"/>
          <w:b/>
          <w:color w:val="auto"/>
          <w:sz w:val="24"/>
          <w:szCs w:val="24"/>
        </w:rPr>
        <w:t>finansowy</w:t>
      </w:r>
    </w:p>
    <w:tbl>
      <w:tblPr>
        <w:tblStyle w:val="Tabela-Siatka"/>
        <w:tblW w:w="9634" w:type="dxa"/>
        <w:tblLayout w:type="fixed"/>
        <w:tblLook w:val="04A0" w:firstRow="1" w:lastRow="0" w:firstColumn="1" w:lastColumn="0" w:noHBand="0" w:noVBand="1"/>
        <w:tblCaption w:val="Postęp finansowy."/>
      </w:tblPr>
      <w:tblGrid>
        <w:gridCol w:w="2972"/>
        <w:gridCol w:w="3260"/>
        <w:gridCol w:w="3402"/>
      </w:tblGrid>
      <w:tr w:rsidR="00907F6D" w:rsidRPr="002B50C0" w14:paraId="7001934B" w14:textId="77777777" w:rsidTr="00141A92">
        <w:trPr>
          <w:tblHeader/>
        </w:trPr>
        <w:tc>
          <w:tcPr>
            <w:tcW w:w="2972" w:type="dxa"/>
            <w:shd w:val="clear" w:color="auto" w:fill="D0CECE" w:themeFill="background2" w:themeFillShade="E6"/>
            <w:vAlign w:val="center"/>
          </w:tcPr>
          <w:p w14:paraId="6493274C" w14:textId="77777777" w:rsidR="00907F6D" w:rsidRPr="00141A92" w:rsidRDefault="00795AFA" w:rsidP="00586664">
            <w:pPr>
              <w:spacing w:before="120" w:after="120"/>
              <w:rPr>
                <w:rFonts w:ascii="Arial" w:hAnsi="Arial" w:cs="Arial"/>
                <w:b/>
                <w:sz w:val="20"/>
                <w:szCs w:val="20"/>
              </w:rPr>
            </w:pPr>
            <w:r w:rsidRPr="00141A92">
              <w:rPr>
                <w:rFonts w:ascii="Arial" w:hAnsi="Arial" w:cs="Arial"/>
                <w:b/>
                <w:sz w:val="20"/>
                <w:szCs w:val="20"/>
              </w:rPr>
              <w:t>Czas realizacji projektu</w:t>
            </w:r>
          </w:p>
        </w:tc>
        <w:tc>
          <w:tcPr>
            <w:tcW w:w="3260" w:type="dxa"/>
            <w:shd w:val="clear" w:color="auto" w:fill="D0CECE" w:themeFill="background2" w:themeFillShade="E6"/>
            <w:vAlign w:val="center"/>
          </w:tcPr>
          <w:p w14:paraId="7C57740F" w14:textId="0DBAE67A" w:rsidR="00907F6D" w:rsidRPr="00141A92" w:rsidRDefault="00795AFA" w:rsidP="00586664">
            <w:pPr>
              <w:rPr>
                <w:rFonts w:ascii="Arial" w:hAnsi="Arial" w:cs="Arial"/>
                <w:b/>
                <w:sz w:val="20"/>
                <w:szCs w:val="20"/>
              </w:rPr>
            </w:pPr>
            <w:r w:rsidRPr="00141A92">
              <w:rPr>
                <w:rFonts w:ascii="Arial" w:hAnsi="Arial" w:cs="Arial"/>
                <w:b/>
                <w:sz w:val="20"/>
                <w:szCs w:val="20"/>
              </w:rPr>
              <w:t>Wartość środków wydatkowanych</w:t>
            </w:r>
          </w:p>
        </w:tc>
        <w:tc>
          <w:tcPr>
            <w:tcW w:w="3402" w:type="dxa"/>
            <w:shd w:val="clear" w:color="auto" w:fill="D0CECE" w:themeFill="background2" w:themeFillShade="E6"/>
            <w:vAlign w:val="center"/>
          </w:tcPr>
          <w:p w14:paraId="420C6167" w14:textId="5628981B" w:rsidR="00907F6D" w:rsidRPr="00141A92" w:rsidRDefault="00795AFA" w:rsidP="00586664">
            <w:pPr>
              <w:rPr>
                <w:rFonts w:ascii="Arial" w:hAnsi="Arial" w:cs="Arial"/>
                <w:b/>
                <w:sz w:val="20"/>
                <w:szCs w:val="20"/>
              </w:rPr>
            </w:pPr>
            <w:r w:rsidRPr="00141A92">
              <w:rPr>
                <w:rFonts w:ascii="Arial" w:hAnsi="Arial" w:cs="Arial"/>
                <w:b/>
                <w:sz w:val="20"/>
                <w:szCs w:val="20"/>
              </w:rPr>
              <w:t>Wartość środków zaangażowanych</w:t>
            </w:r>
          </w:p>
        </w:tc>
      </w:tr>
      <w:tr w:rsidR="00870A03" w:rsidRPr="002B50C0" w14:paraId="59735F91" w14:textId="77777777" w:rsidTr="00D10E2F">
        <w:trPr>
          <w:trHeight w:val="545"/>
        </w:trPr>
        <w:tc>
          <w:tcPr>
            <w:tcW w:w="2972" w:type="dxa"/>
          </w:tcPr>
          <w:p w14:paraId="1DFC0546" w14:textId="3FD3127D" w:rsidR="00870A03" w:rsidRPr="00607390" w:rsidRDefault="00C76731" w:rsidP="00870A03">
            <w:pPr>
              <w:rPr>
                <w:rFonts w:cstheme="minorHAnsi"/>
                <w:color w:val="0070C0"/>
                <w:sz w:val="18"/>
                <w:szCs w:val="18"/>
              </w:rPr>
            </w:pPr>
            <w:r>
              <w:rPr>
                <w:rFonts w:cstheme="minorHAnsi"/>
                <w:sz w:val="18"/>
                <w:szCs w:val="18"/>
              </w:rPr>
              <w:t>30</w:t>
            </w:r>
            <w:r w:rsidR="00870A03">
              <w:rPr>
                <w:rFonts w:cstheme="minorHAnsi"/>
                <w:sz w:val="18"/>
                <w:szCs w:val="18"/>
              </w:rPr>
              <w:t xml:space="preserve"> </w:t>
            </w:r>
            <w:r w:rsidR="00870A03" w:rsidRPr="00607390">
              <w:rPr>
                <w:rFonts w:cstheme="minorHAnsi"/>
                <w:sz w:val="18"/>
                <w:szCs w:val="18"/>
              </w:rPr>
              <w:t>%</w:t>
            </w:r>
          </w:p>
          <w:p w14:paraId="077C8D26" w14:textId="4462D116" w:rsidR="00870A03" w:rsidRPr="00141A92" w:rsidRDefault="00870A03" w:rsidP="00870A03">
            <w:pPr>
              <w:rPr>
                <w:rFonts w:ascii="Arial" w:hAnsi="Arial" w:cs="Arial"/>
                <w:color w:val="0070C0"/>
                <w:sz w:val="18"/>
                <w:szCs w:val="20"/>
              </w:rPr>
            </w:pPr>
          </w:p>
        </w:tc>
        <w:tc>
          <w:tcPr>
            <w:tcW w:w="3260" w:type="dxa"/>
          </w:tcPr>
          <w:p w14:paraId="6D4E580C" w14:textId="50C3D7FA" w:rsidR="00870A03" w:rsidRDefault="00727CD1" w:rsidP="001B4BB3">
            <w:pPr>
              <w:pStyle w:val="Akapitzlist"/>
              <w:numPr>
                <w:ilvl w:val="0"/>
                <w:numId w:val="24"/>
              </w:numPr>
              <w:rPr>
                <w:rFonts w:cstheme="minorHAnsi"/>
                <w:sz w:val="18"/>
                <w:szCs w:val="18"/>
              </w:rPr>
            </w:pPr>
            <w:bookmarkStart w:id="0" w:name="_Hlk28003814"/>
            <w:r>
              <w:rPr>
                <w:rFonts w:cstheme="minorHAnsi"/>
                <w:sz w:val="18"/>
                <w:szCs w:val="18"/>
              </w:rPr>
              <w:t>30,8</w:t>
            </w:r>
            <w:r w:rsidR="00312ACE">
              <w:rPr>
                <w:rFonts w:cstheme="minorHAnsi"/>
                <w:sz w:val="18"/>
                <w:szCs w:val="18"/>
              </w:rPr>
              <w:t>8</w:t>
            </w:r>
            <w:r w:rsidR="00870A03" w:rsidRPr="001B4BB3">
              <w:rPr>
                <w:rFonts w:cstheme="minorHAnsi"/>
                <w:sz w:val="18"/>
                <w:szCs w:val="18"/>
              </w:rPr>
              <w:t>%</w:t>
            </w:r>
          </w:p>
          <w:p w14:paraId="280C63A3" w14:textId="445EF3D7" w:rsidR="001B4BB3" w:rsidRDefault="008336EF" w:rsidP="001B4BB3">
            <w:pPr>
              <w:pStyle w:val="Akapitzlist"/>
              <w:numPr>
                <w:ilvl w:val="0"/>
                <w:numId w:val="24"/>
              </w:numPr>
              <w:rPr>
                <w:rFonts w:cstheme="minorHAnsi"/>
                <w:sz w:val="18"/>
                <w:szCs w:val="18"/>
              </w:rPr>
            </w:pPr>
            <w:r>
              <w:rPr>
                <w:rFonts w:cstheme="minorHAnsi"/>
                <w:sz w:val="18"/>
                <w:szCs w:val="18"/>
              </w:rPr>
              <w:t xml:space="preserve">2,22 </w:t>
            </w:r>
            <w:bookmarkStart w:id="1" w:name="_GoBack"/>
            <w:bookmarkEnd w:id="1"/>
            <w:r w:rsidR="001B4BB3">
              <w:rPr>
                <w:rFonts w:cstheme="minorHAnsi"/>
                <w:sz w:val="18"/>
                <w:szCs w:val="18"/>
              </w:rPr>
              <w:t>%</w:t>
            </w:r>
          </w:p>
          <w:bookmarkEnd w:id="0"/>
          <w:p w14:paraId="4929DAC9" w14:textId="071F5EA4" w:rsidR="001B4BB3" w:rsidRPr="001B4BB3" w:rsidRDefault="00EB3273" w:rsidP="001B4BB3">
            <w:pPr>
              <w:pStyle w:val="Akapitzlist"/>
              <w:numPr>
                <w:ilvl w:val="0"/>
                <w:numId w:val="24"/>
              </w:numPr>
              <w:rPr>
                <w:rFonts w:cstheme="minorHAnsi"/>
                <w:sz w:val="18"/>
                <w:szCs w:val="18"/>
              </w:rPr>
            </w:pPr>
            <w:r>
              <w:rPr>
                <w:rFonts w:cstheme="minorHAnsi"/>
                <w:sz w:val="18"/>
                <w:szCs w:val="18"/>
              </w:rPr>
              <w:t>Nie dotyczy.</w:t>
            </w:r>
          </w:p>
        </w:tc>
        <w:tc>
          <w:tcPr>
            <w:tcW w:w="3402" w:type="dxa"/>
          </w:tcPr>
          <w:p w14:paraId="65BB31D3" w14:textId="1B1C038D" w:rsidR="00870A03" w:rsidRPr="00915E9D" w:rsidRDefault="00312ACE" w:rsidP="00E710E1">
            <w:pPr>
              <w:rPr>
                <w:rFonts w:cstheme="minorHAnsi"/>
                <w:sz w:val="18"/>
                <w:szCs w:val="18"/>
              </w:rPr>
            </w:pPr>
            <w:r>
              <w:rPr>
                <w:rFonts w:cstheme="minorHAnsi"/>
                <w:sz w:val="18"/>
                <w:szCs w:val="18"/>
              </w:rPr>
              <w:t>30,88</w:t>
            </w:r>
            <w:r w:rsidR="00870A03" w:rsidRPr="00915E9D">
              <w:rPr>
                <w:rFonts w:cstheme="minorHAnsi"/>
                <w:sz w:val="18"/>
                <w:szCs w:val="18"/>
              </w:rPr>
              <w:t xml:space="preserve"> %</w:t>
            </w:r>
          </w:p>
        </w:tc>
      </w:tr>
    </w:tbl>
    <w:p w14:paraId="1B60E781" w14:textId="77777777" w:rsidR="002B50C0" w:rsidRPr="002B50C0" w:rsidRDefault="002B50C0" w:rsidP="002B50C0">
      <w:pPr>
        <w:pStyle w:val="Nagwek3"/>
        <w:spacing w:after="200"/>
        <w:rPr>
          <w:rStyle w:val="Nagwek2Znak"/>
          <w:rFonts w:ascii="Arial" w:eastAsiaTheme="minorHAnsi" w:hAnsi="Arial" w:cs="Arial"/>
          <w:color w:val="767171" w:themeColor="background2" w:themeShade="80"/>
          <w:sz w:val="20"/>
          <w:szCs w:val="20"/>
        </w:rPr>
      </w:pPr>
    </w:p>
    <w:p w14:paraId="78C2C617" w14:textId="7FCEF9BD" w:rsidR="00E42938" w:rsidRPr="002B50C0" w:rsidRDefault="005C0469" w:rsidP="00141A92">
      <w:pPr>
        <w:pStyle w:val="Nagwek3"/>
        <w:numPr>
          <w:ilvl w:val="0"/>
          <w:numId w:val="19"/>
        </w:numPr>
        <w:spacing w:after="200"/>
        <w:ind w:left="426" w:hanging="426"/>
        <w:rPr>
          <w:rFonts w:ascii="Arial" w:eastAsiaTheme="minorHAnsi" w:hAnsi="Arial" w:cs="Arial"/>
          <w:color w:val="767171" w:themeColor="background2" w:themeShade="80"/>
          <w:sz w:val="20"/>
          <w:szCs w:val="20"/>
        </w:rPr>
      </w:pPr>
      <w:r w:rsidRPr="00141A92">
        <w:rPr>
          <w:rStyle w:val="Nagwek2Znak"/>
          <w:rFonts w:ascii="Arial" w:hAnsi="Arial" w:cs="Arial"/>
          <w:b/>
          <w:color w:val="auto"/>
          <w:sz w:val="24"/>
          <w:szCs w:val="24"/>
        </w:rPr>
        <w:t>P</w:t>
      </w:r>
      <w:r w:rsidR="00241B5E" w:rsidRPr="00141A92">
        <w:rPr>
          <w:rStyle w:val="Nagwek2Znak"/>
          <w:rFonts w:ascii="Arial" w:hAnsi="Arial" w:cs="Arial"/>
          <w:b/>
          <w:color w:val="auto"/>
          <w:sz w:val="24"/>
          <w:szCs w:val="24"/>
        </w:rPr>
        <w:t>ostęp rzeczowy</w:t>
      </w:r>
      <w:r w:rsidR="00DA34DF" w:rsidRPr="00141A92">
        <w:rPr>
          <w:rFonts w:ascii="Arial" w:hAnsi="Arial" w:cs="Arial"/>
          <w:color w:val="auto"/>
        </w:rPr>
        <w:t xml:space="preserve"> </w:t>
      </w:r>
      <w:r w:rsidR="00B41415" w:rsidRPr="002B50C0">
        <w:rPr>
          <w:rFonts w:ascii="Arial" w:eastAsiaTheme="minorHAnsi" w:hAnsi="Arial" w:cs="Arial"/>
          <w:color w:val="767171" w:themeColor="background2" w:themeShade="80"/>
          <w:sz w:val="20"/>
          <w:szCs w:val="20"/>
        </w:rPr>
        <w:t xml:space="preserve">&lt;maksymalnie </w:t>
      </w:r>
      <w:r w:rsidR="00E11B44">
        <w:rPr>
          <w:rFonts w:ascii="Arial" w:eastAsiaTheme="minorHAnsi" w:hAnsi="Arial" w:cs="Arial"/>
          <w:color w:val="767171" w:themeColor="background2" w:themeShade="80"/>
          <w:sz w:val="20"/>
          <w:szCs w:val="20"/>
        </w:rPr>
        <w:t>5</w:t>
      </w:r>
      <w:r w:rsidR="00B41415" w:rsidRPr="002B50C0">
        <w:rPr>
          <w:rFonts w:ascii="Arial" w:eastAsiaTheme="minorHAnsi" w:hAnsi="Arial" w:cs="Arial"/>
          <w:color w:val="767171" w:themeColor="background2" w:themeShade="80"/>
          <w:sz w:val="20"/>
          <w:szCs w:val="20"/>
        </w:rPr>
        <w:t>0</w:t>
      </w:r>
      <w:r w:rsidR="00DA34DF" w:rsidRPr="002B50C0">
        <w:rPr>
          <w:rFonts w:ascii="Arial" w:eastAsiaTheme="minorHAnsi" w:hAnsi="Arial" w:cs="Arial"/>
          <w:color w:val="767171" w:themeColor="background2" w:themeShade="80"/>
          <w:sz w:val="20"/>
          <w:szCs w:val="20"/>
        </w:rPr>
        <w:t>00 znaków&gt;</w:t>
      </w:r>
    </w:p>
    <w:p w14:paraId="07D9E974" w14:textId="4B7401B0" w:rsidR="00CF2E64" w:rsidRDefault="00CF2E64" w:rsidP="00141A92">
      <w:pPr>
        <w:spacing w:after="120" w:line="240" w:lineRule="auto"/>
        <w:rPr>
          <w:rFonts w:ascii="Arial" w:hAnsi="Arial" w:cs="Arial"/>
          <w:b/>
          <w:sz w:val="20"/>
          <w:szCs w:val="20"/>
        </w:rPr>
      </w:pPr>
      <w:r w:rsidRPr="00141A92">
        <w:rPr>
          <w:rFonts w:ascii="Arial" w:hAnsi="Arial" w:cs="Arial"/>
          <w:b/>
          <w:sz w:val="20"/>
          <w:szCs w:val="20"/>
        </w:rPr>
        <w:t>Kamienie milowe</w:t>
      </w:r>
    </w:p>
    <w:tbl>
      <w:tblPr>
        <w:tblStyle w:val="Tabela-Siatka"/>
        <w:tblW w:w="9639" w:type="dxa"/>
        <w:tblInd w:w="-5" w:type="dxa"/>
        <w:tblLook w:val="04A0" w:firstRow="1" w:lastRow="0" w:firstColumn="1" w:lastColumn="0" w:noHBand="0" w:noVBand="1"/>
        <w:tblCaption w:val="Kamienie milowe."/>
      </w:tblPr>
      <w:tblGrid>
        <w:gridCol w:w="2127"/>
        <w:gridCol w:w="1507"/>
        <w:gridCol w:w="1289"/>
        <w:gridCol w:w="1914"/>
        <w:gridCol w:w="2802"/>
      </w:tblGrid>
      <w:tr w:rsidR="006717C5" w:rsidRPr="00F528B3" w14:paraId="0EDDBBB5" w14:textId="77777777" w:rsidTr="006717C5">
        <w:tc>
          <w:tcPr>
            <w:tcW w:w="2127" w:type="dxa"/>
          </w:tcPr>
          <w:p w14:paraId="6C3F2723" w14:textId="77777777" w:rsidR="006717C5" w:rsidRPr="00F528B3" w:rsidRDefault="006717C5" w:rsidP="006F7AE7">
            <w:pPr>
              <w:rPr>
                <w:rFonts w:cstheme="minorHAnsi"/>
                <w:b/>
                <w:bCs/>
                <w:sz w:val="20"/>
                <w:szCs w:val="20"/>
              </w:rPr>
            </w:pPr>
            <w:r w:rsidRPr="00F528B3">
              <w:rPr>
                <w:rFonts w:cstheme="minorHAnsi"/>
                <w:b/>
                <w:bCs/>
                <w:sz w:val="20"/>
                <w:szCs w:val="20"/>
              </w:rPr>
              <w:lastRenderedPageBreak/>
              <w:t>Nazwa</w:t>
            </w:r>
          </w:p>
        </w:tc>
        <w:tc>
          <w:tcPr>
            <w:tcW w:w="1507" w:type="dxa"/>
          </w:tcPr>
          <w:p w14:paraId="4DCD4E7E" w14:textId="77777777" w:rsidR="006717C5" w:rsidRPr="00F528B3" w:rsidRDefault="006717C5" w:rsidP="006F7AE7">
            <w:pPr>
              <w:rPr>
                <w:rFonts w:cstheme="minorHAnsi"/>
                <w:b/>
                <w:bCs/>
                <w:sz w:val="20"/>
                <w:szCs w:val="20"/>
              </w:rPr>
            </w:pPr>
            <w:r w:rsidRPr="00F528B3">
              <w:rPr>
                <w:rFonts w:cstheme="minorHAnsi"/>
                <w:b/>
                <w:bCs/>
                <w:sz w:val="20"/>
                <w:szCs w:val="20"/>
              </w:rPr>
              <w:t xml:space="preserve">Powiązane wskaźniki projektu </w:t>
            </w:r>
            <w:r w:rsidRPr="00F528B3">
              <w:rPr>
                <w:rStyle w:val="Odwoanieprzypisudolnego"/>
                <w:rFonts w:cstheme="minorHAnsi"/>
                <w:b/>
                <w:bCs/>
                <w:sz w:val="20"/>
                <w:szCs w:val="20"/>
              </w:rPr>
              <w:footnoteReference w:id="1"/>
            </w:r>
          </w:p>
        </w:tc>
        <w:tc>
          <w:tcPr>
            <w:tcW w:w="1289" w:type="dxa"/>
          </w:tcPr>
          <w:p w14:paraId="58491D73" w14:textId="77777777" w:rsidR="006717C5" w:rsidRPr="00F528B3" w:rsidRDefault="006717C5" w:rsidP="006F7AE7">
            <w:pPr>
              <w:rPr>
                <w:rFonts w:cstheme="minorHAnsi"/>
                <w:b/>
                <w:bCs/>
                <w:sz w:val="20"/>
                <w:szCs w:val="20"/>
              </w:rPr>
            </w:pPr>
            <w:r w:rsidRPr="00F528B3">
              <w:rPr>
                <w:rFonts w:cstheme="minorHAnsi"/>
                <w:b/>
                <w:bCs/>
                <w:sz w:val="20"/>
                <w:szCs w:val="20"/>
              </w:rPr>
              <w:t>Planowany termin osiągnięcia</w:t>
            </w:r>
          </w:p>
        </w:tc>
        <w:tc>
          <w:tcPr>
            <w:tcW w:w="1914" w:type="dxa"/>
          </w:tcPr>
          <w:p w14:paraId="07FBB147" w14:textId="77777777" w:rsidR="006717C5" w:rsidRPr="00F528B3" w:rsidRDefault="006717C5" w:rsidP="006F7AE7">
            <w:pPr>
              <w:rPr>
                <w:rFonts w:cstheme="minorHAnsi"/>
                <w:b/>
                <w:bCs/>
                <w:sz w:val="20"/>
                <w:szCs w:val="20"/>
              </w:rPr>
            </w:pPr>
            <w:r w:rsidRPr="00F528B3">
              <w:rPr>
                <w:rFonts w:cstheme="minorHAnsi"/>
                <w:b/>
                <w:bCs/>
                <w:sz w:val="20"/>
                <w:szCs w:val="20"/>
              </w:rPr>
              <w:t>Rzeczywisty termin osiągnięcia</w:t>
            </w:r>
          </w:p>
        </w:tc>
        <w:tc>
          <w:tcPr>
            <w:tcW w:w="2802" w:type="dxa"/>
          </w:tcPr>
          <w:p w14:paraId="5DCCA4DE" w14:textId="77777777" w:rsidR="006717C5" w:rsidRPr="00F528B3" w:rsidRDefault="006717C5" w:rsidP="006F7AE7">
            <w:pPr>
              <w:rPr>
                <w:rFonts w:cstheme="minorHAnsi"/>
                <w:b/>
                <w:bCs/>
                <w:sz w:val="20"/>
                <w:szCs w:val="20"/>
              </w:rPr>
            </w:pPr>
            <w:r w:rsidRPr="00F528B3">
              <w:rPr>
                <w:rFonts w:cstheme="minorHAnsi"/>
                <w:b/>
                <w:bCs/>
                <w:sz w:val="20"/>
                <w:szCs w:val="20"/>
              </w:rPr>
              <w:t>Status realizacji kamienia milowego</w:t>
            </w:r>
          </w:p>
        </w:tc>
      </w:tr>
      <w:tr w:rsidR="006717C5" w:rsidRPr="00367796" w14:paraId="3A685987" w14:textId="77777777" w:rsidTr="006717C5">
        <w:tc>
          <w:tcPr>
            <w:tcW w:w="2127" w:type="dxa"/>
          </w:tcPr>
          <w:p w14:paraId="6B76C72C" w14:textId="77777777" w:rsidR="006717C5" w:rsidRPr="00367796" w:rsidRDefault="006717C5" w:rsidP="006F7AE7">
            <w:pPr>
              <w:rPr>
                <w:rFonts w:cstheme="minorHAnsi"/>
                <w:color w:val="0070C0"/>
                <w:sz w:val="18"/>
                <w:szCs w:val="18"/>
              </w:rPr>
            </w:pPr>
            <w:r w:rsidRPr="00367796">
              <w:rPr>
                <w:rFonts w:cstheme="minorHAnsi"/>
                <w:sz w:val="18"/>
                <w:szCs w:val="18"/>
              </w:rPr>
              <w:t>KM1 Podpisanie umów z dostawcami produktów programistycznych po postępowaniach przetargowych</w:t>
            </w:r>
          </w:p>
        </w:tc>
        <w:tc>
          <w:tcPr>
            <w:tcW w:w="1507" w:type="dxa"/>
          </w:tcPr>
          <w:p w14:paraId="46C3DA92" w14:textId="77777777" w:rsidR="006717C5" w:rsidRPr="00367796" w:rsidRDefault="006717C5" w:rsidP="006F7AE7">
            <w:pPr>
              <w:rPr>
                <w:rFonts w:cstheme="minorHAnsi"/>
                <w:sz w:val="18"/>
                <w:szCs w:val="18"/>
              </w:rPr>
            </w:pPr>
            <w:r w:rsidRPr="00367796">
              <w:rPr>
                <w:rFonts w:cstheme="minorHAnsi"/>
                <w:sz w:val="18"/>
                <w:szCs w:val="18"/>
              </w:rPr>
              <w:t>Brak</w:t>
            </w:r>
          </w:p>
        </w:tc>
        <w:tc>
          <w:tcPr>
            <w:tcW w:w="1289" w:type="dxa"/>
          </w:tcPr>
          <w:p w14:paraId="62A4E8FB" w14:textId="77777777" w:rsidR="006717C5" w:rsidRPr="00367796" w:rsidRDefault="006717C5" w:rsidP="006F7AE7">
            <w:pPr>
              <w:rPr>
                <w:rFonts w:cstheme="minorHAnsi"/>
                <w:sz w:val="18"/>
                <w:szCs w:val="18"/>
                <w:lang w:eastAsia="pl-PL"/>
              </w:rPr>
            </w:pPr>
            <w:r w:rsidRPr="00367796">
              <w:rPr>
                <w:rFonts w:cstheme="minorHAnsi"/>
                <w:sz w:val="18"/>
                <w:szCs w:val="18"/>
                <w:lang w:eastAsia="pl-PL"/>
              </w:rPr>
              <w:t>06-2019</w:t>
            </w:r>
          </w:p>
        </w:tc>
        <w:tc>
          <w:tcPr>
            <w:tcW w:w="1914" w:type="dxa"/>
          </w:tcPr>
          <w:p w14:paraId="6B8ACC22" w14:textId="77777777" w:rsidR="006717C5" w:rsidRPr="00367796" w:rsidRDefault="006717C5" w:rsidP="006F7AE7">
            <w:pPr>
              <w:pStyle w:val="Akapitzlist"/>
              <w:ind w:left="7"/>
              <w:rPr>
                <w:rFonts w:cstheme="minorHAnsi"/>
                <w:color w:val="0070C0"/>
                <w:sz w:val="18"/>
                <w:szCs w:val="18"/>
                <w:lang w:eastAsia="pl-PL"/>
              </w:rPr>
            </w:pPr>
          </w:p>
        </w:tc>
        <w:tc>
          <w:tcPr>
            <w:tcW w:w="2802" w:type="dxa"/>
          </w:tcPr>
          <w:p w14:paraId="46C62438" w14:textId="664AB0E8" w:rsidR="006717C5" w:rsidRPr="00367796" w:rsidRDefault="006717C5" w:rsidP="006F7AE7">
            <w:pPr>
              <w:rPr>
                <w:rFonts w:cstheme="minorHAnsi"/>
                <w:sz w:val="18"/>
                <w:szCs w:val="18"/>
              </w:rPr>
            </w:pPr>
            <w:r w:rsidRPr="00367796">
              <w:rPr>
                <w:rFonts w:cstheme="minorHAnsi"/>
                <w:sz w:val="18"/>
                <w:szCs w:val="18"/>
              </w:rPr>
              <w:t>- w trakcie realizacji, z opóźnieniem wynikającym z powtórzenia procedur przetargowych (</w:t>
            </w:r>
            <w:r w:rsidR="00367796" w:rsidRPr="00367796">
              <w:rPr>
                <w:rFonts w:cstheme="minorHAnsi"/>
                <w:sz w:val="18"/>
                <w:szCs w:val="18"/>
              </w:rPr>
              <w:t>w chwili obecnej przetarg rozstrzygnięto, umowa zostanie podpisana w ciągu kilku dni</w:t>
            </w:r>
            <w:r w:rsidRPr="00367796">
              <w:rPr>
                <w:rFonts w:cstheme="minorHAnsi"/>
                <w:sz w:val="18"/>
                <w:szCs w:val="18"/>
              </w:rPr>
              <w:t>).</w:t>
            </w:r>
          </w:p>
        </w:tc>
      </w:tr>
      <w:tr w:rsidR="006717C5" w:rsidRPr="00367796" w14:paraId="6725CDF8" w14:textId="77777777" w:rsidTr="006717C5">
        <w:tc>
          <w:tcPr>
            <w:tcW w:w="2127" w:type="dxa"/>
          </w:tcPr>
          <w:p w14:paraId="503F5A12" w14:textId="77777777" w:rsidR="006717C5" w:rsidRPr="00367796" w:rsidRDefault="006717C5" w:rsidP="006F7AE7">
            <w:pPr>
              <w:rPr>
                <w:rFonts w:cstheme="minorHAnsi"/>
                <w:color w:val="0070C0"/>
                <w:sz w:val="18"/>
                <w:szCs w:val="18"/>
              </w:rPr>
            </w:pPr>
            <w:r w:rsidRPr="00367796">
              <w:rPr>
                <w:rFonts w:cstheme="minorHAnsi"/>
                <w:sz w:val="18"/>
                <w:szCs w:val="18"/>
              </w:rPr>
              <w:t>KM2 Dostarczenie sprzętu</w:t>
            </w:r>
          </w:p>
        </w:tc>
        <w:tc>
          <w:tcPr>
            <w:tcW w:w="1507" w:type="dxa"/>
          </w:tcPr>
          <w:p w14:paraId="296F5010" w14:textId="77777777" w:rsidR="006717C5" w:rsidRPr="00367796" w:rsidRDefault="006717C5" w:rsidP="006F7AE7">
            <w:pPr>
              <w:rPr>
                <w:rFonts w:cstheme="minorHAnsi"/>
                <w:sz w:val="18"/>
                <w:szCs w:val="18"/>
              </w:rPr>
            </w:pPr>
            <w:r w:rsidRPr="00367796">
              <w:rPr>
                <w:rFonts w:cstheme="minorHAnsi"/>
                <w:sz w:val="18"/>
                <w:szCs w:val="18"/>
              </w:rPr>
              <w:t>Brak</w:t>
            </w:r>
          </w:p>
        </w:tc>
        <w:tc>
          <w:tcPr>
            <w:tcW w:w="1289" w:type="dxa"/>
          </w:tcPr>
          <w:p w14:paraId="2E5F4264" w14:textId="77777777" w:rsidR="006717C5" w:rsidRPr="00367796" w:rsidRDefault="006717C5" w:rsidP="006F7AE7">
            <w:pPr>
              <w:rPr>
                <w:rFonts w:cstheme="minorHAnsi"/>
                <w:sz w:val="18"/>
                <w:szCs w:val="18"/>
                <w:lang w:eastAsia="pl-PL"/>
              </w:rPr>
            </w:pPr>
            <w:r w:rsidRPr="00367796">
              <w:rPr>
                <w:rFonts w:cstheme="minorHAnsi"/>
                <w:sz w:val="18"/>
                <w:szCs w:val="18"/>
                <w:lang w:eastAsia="pl-PL"/>
              </w:rPr>
              <w:t>08-2019</w:t>
            </w:r>
          </w:p>
        </w:tc>
        <w:tc>
          <w:tcPr>
            <w:tcW w:w="1914" w:type="dxa"/>
          </w:tcPr>
          <w:p w14:paraId="1782C23C" w14:textId="570BEBE2" w:rsidR="006717C5" w:rsidRPr="00367796" w:rsidRDefault="006717C5" w:rsidP="006F7AE7">
            <w:pPr>
              <w:pStyle w:val="Akapitzlist"/>
              <w:ind w:left="7"/>
              <w:rPr>
                <w:rFonts w:cstheme="minorHAnsi"/>
                <w:color w:val="0070C0"/>
                <w:sz w:val="18"/>
                <w:szCs w:val="18"/>
                <w:lang w:eastAsia="pl-PL"/>
              </w:rPr>
            </w:pPr>
          </w:p>
        </w:tc>
        <w:tc>
          <w:tcPr>
            <w:tcW w:w="2802" w:type="dxa"/>
          </w:tcPr>
          <w:p w14:paraId="0E622B5A" w14:textId="3B954379" w:rsidR="006717C5" w:rsidRPr="00367796" w:rsidRDefault="006717C5" w:rsidP="006F7AE7">
            <w:pPr>
              <w:rPr>
                <w:rFonts w:cstheme="minorHAnsi"/>
                <w:sz w:val="18"/>
                <w:szCs w:val="18"/>
              </w:rPr>
            </w:pPr>
            <w:r w:rsidRPr="00367796">
              <w:rPr>
                <w:rFonts w:cstheme="minorHAnsi"/>
                <w:sz w:val="18"/>
                <w:szCs w:val="18"/>
              </w:rPr>
              <w:t>- w trakcie realizacji</w:t>
            </w:r>
            <w:r w:rsidR="00A31715" w:rsidRPr="00367796">
              <w:rPr>
                <w:rFonts w:cstheme="minorHAnsi"/>
                <w:sz w:val="18"/>
                <w:szCs w:val="18"/>
              </w:rPr>
              <w:t xml:space="preserve"> (</w:t>
            </w:r>
            <w:r w:rsidR="003A6FDC" w:rsidRPr="00367796">
              <w:rPr>
                <w:rFonts w:cstheme="minorHAnsi"/>
                <w:sz w:val="18"/>
                <w:szCs w:val="18"/>
              </w:rPr>
              <w:t>znacząca część</w:t>
            </w:r>
            <w:r w:rsidR="00A31715" w:rsidRPr="00367796">
              <w:rPr>
                <w:rFonts w:cstheme="minorHAnsi"/>
                <w:sz w:val="18"/>
                <w:szCs w:val="18"/>
              </w:rPr>
              <w:t xml:space="preserve"> dostaw została zrealizowana, część po procedurach przetargowych oczekuje na dostawę, dla części sprzętu partner powtórzył procedurę przetargową)</w:t>
            </w:r>
          </w:p>
        </w:tc>
      </w:tr>
      <w:tr w:rsidR="000A6B30" w:rsidRPr="002D2911" w14:paraId="77680F74" w14:textId="77777777" w:rsidTr="006717C5">
        <w:tc>
          <w:tcPr>
            <w:tcW w:w="2127" w:type="dxa"/>
          </w:tcPr>
          <w:p w14:paraId="305B9EBA" w14:textId="77777777" w:rsidR="006717C5" w:rsidRPr="002D2911" w:rsidRDefault="006717C5" w:rsidP="006F7AE7">
            <w:pPr>
              <w:rPr>
                <w:rFonts w:cstheme="minorHAnsi"/>
                <w:sz w:val="18"/>
                <w:szCs w:val="18"/>
              </w:rPr>
            </w:pPr>
            <w:r w:rsidRPr="002D2911">
              <w:rPr>
                <w:rFonts w:cstheme="minorHAnsi"/>
                <w:sz w:val="18"/>
                <w:szCs w:val="18"/>
              </w:rPr>
              <w:t>KM3 Konferencja otwierająca projekt</w:t>
            </w:r>
          </w:p>
        </w:tc>
        <w:tc>
          <w:tcPr>
            <w:tcW w:w="1507" w:type="dxa"/>
          </w:tcPr>
          <w:p w14:paraId="45E5142C" w14:textId="6F0EF3D9" w:rsidR="006717C5" w:rsidRPr="002D2911" w:rsidRDefault="000A6B30" w:rsidP="006F7AE7">
            <w:pPr>
              <w:rPr>
                <w:rFonts w:cstheme="minorHAnsi"/>
                <w:sz w:val="18"/>
                <w:szCs w:val="18"/>
              </w:rPr>
            </w:pPr>
            <w:r w:rsidRPr="002D2911">
              <w:rPr>
                <w:rFonts w:cstheme="minorHAnsi"/>
                <w:sz w:val="18"/>
                <w:szCs w:val="18"/>
              </w:rPr>
              <w:t>Brak</w:t>
            </w:r>
          </w:p>
        </w:tc>
        <w:tc>
          <w:tcPr>
            <w:tcW w:w="1289" w:type="dxa"/>
          </w:tcPr>
          <w:p w14:paraId="0043A438" w14:textId="77777777" w:rsidR="006717C5" w:rsidRPr="002D2911" w:rsidRDefault="006717C5" w:rsidP="006F7AE7">
            <w:pPr>
              <w:rPr>
                <w:rFonts w:cstheme="minorHAnsi"/>
                <w:sz w:val="18"/>
                <w:szCs w:val="18"/>
                <w:lang w:eastAsia="pl-PL"/>
              </w:rPr>
            </w:pPr>
            <w:r w:rsidRPr="002D2911">
              <w:rPr>
                <w:rFonts w:cstheme="minorHAnsi"/>
                <w:sz w:val="18"/>
                <w:szCs w:val="18"/>
                <w:lang w:eastAsia="pl-PL"/>
              </w:rPr>
              <w:t>10-2019</w:t>
            </w:r>
          </w:p>
        </w:tc>
        <w:tc>
          <w:tcPr>
            <w:tcW w:w="1914" w:type="dxa"/>
          </w:tcPr>
          <w:p w14:paraId="3DFFAFB7" w14:textId="3359D638" w:rsidR="006717C5" w:rsidRPr="002D2911" w:rsidRDefault="000A6B30" w:rsidP="006F7AE7">
            <w:pPr>
              <w:pStyle w:val="Akapitzlist"/>
              <w:ind w:left="7"/>
              <w:rPr>
                <w:rFonts w:cstheme="minorHAnsi"/>
                <w:sz w:val="18"/>
                <w:szCs w:val="18"/>
                <w:lang w:eastAsia="pl-PL"/>
              </w:rPr>
            </w:pPr>
            <w:r w:rsidRPr="002D2911">
              <w:rPr>
                <w:rFonts w:cstheme="minorHAnsi"/>
                <w:sz w:val="18"/>
                <w:szCs w:val="18"/>
                <w:lang w:eastAsia="pl-PL"/>
              </w:rPr>
              <w:t>10-2019</w:t>
            </w:r>
          </w:p>
        </w:tc>
        <w:tc>
          <w:tcPr>
            <w:tcW w:w="2802" w:type="dxa"/>
          </w:tcPr>
          <w:p w14:paraId="1504E23E" w14:textId="54AA1F43" w:rsidR="006717C5" w:rsidRPr="002D2911" w:rsidRDefault="000A6B30" w:rsidP="006F7AE7">
            <w:pPr>
              <w:rPr>
                <w:rFonts w:cstheme="minorHAnsi"/>
                <w:sz w:val="18"/>
                <w:szCs w:val="18"/>
              </w:rPr>
            </w:pPr>
            <w:r w:rsidRPr="002D2911">
              <w:rPr>
                <w:rFonts w:cstheme="minorHAnsi"/>
                <w:sz w:val="18"/>
                <w:szCs w:val="18"/>
              </w:rPr>
              <w:t xml:space="preserve">- </w:t>
            </w:r>
            <w:r w:rsidR="00A31715" w:rsidRPr="002D2911">
              <w:rPr>
                <w:rFonts w:cstheme="minorHAnsi"/>
                <w:sz w:val="18"/>
                <w:szCs w:val="18"/>
              </w:rPr>
              <w:t>osiągnięty</w:t>
            </w:r>
          </w:p>
        </w:tc>
      </w:tr>
      <w:tr w:rsidR="006717C5" w:rsidRPr="00651CF3" w14:paraId="148C1ED8" w14:textId="77777777" w:rsidTr="006717C5">
        <w:tc>
          <w:tcPr>
            <w:tcW w:w="2127" w:type="dxa"/>
          </w:tcPr>
          <w:p w14:paraId="6E25D86A" w14:textId="77777777" w:rsidR="006717C5" w:rsidRPr="00B25812" w:rsidRDefault="006717C5" w:rsidP="006F7AE7">
            <w:pPr>
              <w:rPr>
                <w:rFonts w:cstheme="minorHAnsi"/>
                <w:color w:val="0070C0"/>
                <w:sz w:val="18"/>
                <w:szCs w:val="18"/>
              </w:rPr>
            </w:pPr>
            <w:r w:rsidRPr="00B25812">
              <w:rPr>
                <w:rFonts w:cstheme="minorHAnsi"/>
                <w:sz w:val="18"/>
                <w:szCs w:val="18"/>
              </w:rPr>
              <w:t>KM4 Zakończenie szkoleń dla realizatorów (cz. 1)</w:t>
            </w:r>
          </w:p>
        </w:tc>
        <w:tc>
          <w:tcPr>
            <w:tcW w:w="1507" w:type="dxa"/>
          </w:tcPr>
          <w:p w14:paraId="3CEC3D57" w14:textId="77777777" w:rsidR="006717C5" w:rsidRPr="00B25812" w:rsidRDefault="006717C5" w:rsidP="006F7AE7">
            <w:pPr>
              <w:rPr>
                <w:rFonts w:cstheme="minorHAnsi"/>
                <w:sz w:val="18"/>
                <w:szCs w:val="18"/>
              </w:rPr>
            </w:pPr>
            <w:r w:rsidRPr="00B25812">
              <w:rPr>
                <w:rFonts w:cstheme="minorHAnsi"/>
                <w:sz w:val="18"/>
                <w:szCs w:val="18"/>
              </w:rPr>
              <w:t>Brak</w:t>
            </w:r>
          </w:p>
        </w:tc>
        <w:tc>
          <w:tcPr>
            <w:tcW w:w="1289" w:type="dxa"/>
          </w:tcPr>
          <w:p w14:paraId="4DF9FC8F" w14:textId="77777777" w:rsidR="006717C5" w:rsidRPr="00B25812" w:rsidRDefault="006717C5" w:rsidP="006F7AE7">
            <w:pPr>
              <w:rPr>
                <w:rFonts w:cstheme="minorHAnsi"/>
                <w:sz w:val="18"/>
                <w:szCs w:val="18"/>
                <w:lang w:eastAsia="pl-PL"/>
              </w:rPr>
            </w:pPr>
            <w:r w:rsidRPr="00B25812">
              <w:rPr>
                <w:rFonts w:cstheme="minorHAnsi"/>
                <w:sz w:val="18"/>
                <w:szCs w:val="18"/>
                <w:lang w:eastAsia="pl-PL"/>
              </w:rPr>
              <w:t>11-2019</w:t>
            </w:r>
          </w:p>
        </w:tc>
        <w:tc>
          <w:tcPr>
            <w:tcW w:w="1914" w:type="dxa"/>
          </w:tcPr>
          <w:p w14:paraId="0A5ADE82" w14:textId="77777777" w:rsidR="006717C5" w:rsidRPr="00B25812" w:rsidRDefault="006717C5" w:rsidP="006F7AE7">
            <w:pPr>
              <w:pStyle w:val="Akapitzlist"/>
              <w:ind w:left="7"/>
              <w:rPr>
                <w:rFonts w:cstheme="minorHAnsi"/>
                <w:color w:val="0070C0"/>
                <w:sz w:val="18"/>
                <w:szCs w:val="18"/>
                <w:lang w:eastAsia="pl-PL"/>
              </w:rPr>
            </w:pPr>
          </w:p>
        </w:tc>
        <w:tc>
          <w:tcPr>
            <w:tcW w:w="2802" w:type="dxa"/>
          </w:tcPr>
          <w:p w14:paraId="5B16CB8F" w14:textId="7F259EF6" w:rsidR="006717C5" w:rsidRPr="00B25812" w:rsidRDefault="006717C5" w:rsidP="006F7AE7">
            <w:pPr>
              <w:rPr>
                <w:rFonts w:cstheme="minorHAnsi"/>
                <w:sz w:val="18"/>
                <w:szCs w:val="18"/>
              </w:rPr>
            </w:pPr>
            <w:r w:rsidRPr="00B25812">
              <w:rPr>
                <w:rFonts w:cstheme="minorHAnsi"/>
                <w:sz w:val="18"/>
                <w:szCs w:val="18"/>
              </w:rPr>
              <w:t xml:space="preserve">- </w:t>
            </w:r>
            <w:r w:rsidR="00367796" w:rsidRPr="00B25812">
              <w:rPr>
                <w:rFonts w:cstheme="minorHAnsi"/>
                <w:sz w:val="18"/>
                <w:szCs w:val="18"/>
              </w:rPr>
              <w:t xml:space="preserve">w trakcie realizacji – szkolenia opóźniły się ze względu na </w:t>
            </w:r>
            <w:r w:rsidR="00B25812" w:rsidRPr="00B25812">
              <w:rPr>
                <w:rFonts w:cstheme="minorHAnsi"/>
                <w:sz w:val="18"/>
                <w:szCs w:val="18"/>
              </w:rPr>
              <w:t>późniejszą dostawę części sprzętów</w:t>
            </w:r>
          </w:p>
        </w:tc>
      </w:tr>
      <w:tr w:rsidR="006717C5" w:rsidRPr="003A6FDC" w14:paraId="46FAC38E" w14:textId="77777777" w:rsidTr="006717C5">
        <w:tc>
          <w:tcPr>
            <w:tcW w:w="2127" w:type="dxa"/>
          </w:tcPr>
          <w:p w14:paraId="5E87FB8A" w14:textId="77777777" w:rsidR="006717C5" w:rsidRPr="003A6FDC" w:rsidRDefault="006717C5" w:rsidP="006F7AE7">
            <w:pPr>
              <w:rPr>
                <w:rFonts w:cstheme="minorHAnsi"/>
                <w:color w:val="0070C0"/>
                <w:sz w:val="18"/>
                <w:szCs w:val="18"/>
              </w:rPr>
            </w:pPr>
            <w:r w:rsidRPr="003A6FDC">
              <w:rPr>
                <w:rFonts w:cstheme="minorHAnsi"/>
                <w:sz w:val="18"/>
                <w:szCs w:val="18"/>
              </w:rPr>
              <w:t>KM5 Realizacja konferencji naukowej - szkolenia dla odbiorców</w:t>
            </w:r>
          </w:p>
        </w:tc>
        <w:tc>
          <w:tcPr>
            <w:tcW w:w="1507" w:type="dxa"/>
          </w:tcPr>
          <w:p w14:paraId="21C9CA61" w14:textId="77777777" w:rsidR="006717C5" w:rsidRPr="003A6FDC" w:rsidRDefault="006717C5" w:rsidP="006F7AE7">
            <w:pPr>
              <w:rPr>
                <w:rFonts w:cstheme="minorHAnsi"/>
                <w:sz w:val="18"/>
                <w:szCs w:val="18"/>
              </w:rPr>
            </w:pPr>
            <w:r w:rsidRPr="003A6FDC">
              <w:rPr>
                <w:rFonts w:cstheme="minorHAnsi"/>
                <w:sz w:val="18"/>
                <w:szCs w:val="18"/>
              </w:rPr>
              <w:t>Brak</w:t>
            </w:r>
          </w:p>
        </w:tc>
        <w:tc>
          <w:tcPr>
            <w:tcW w:w="1289" w:type="dxa"/>
          </w:tcPr>
          <w:p w14:paraId="5565BEA2"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12-2020</w:t>
            </w:r>
          </w:p>
        </w:tc>
        <w:tc>
          <w:tcPr>
            <w:tcW w:w="1914" w:type="dxa"/>
          </w:tcPr>
          <w:p w14:paraId="3B4F2D0F"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67807AFA"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3A6FDC" w14:paraId="7CD8BE8E" w14:textId="77777777" w:rsidTr="006717C5">
        <w:tc>
          <w:tcPr>
            <w:tcW w:w="2127" w:type="dxa"/>
          </w:tcPr>
          <w:p w14:paraId="1D2CE64B" w14:textId="77777777" w:rsidR="006717C5" w:rsidRPr="003A6FDC" w:rsidRDefault="006717C5" w:rsidP="006F7AE7">
            <w:pPr>
              <w:rPr>
                <w:rFonts w:cstheme="minorHAnsi"/>
                <w:color w:val="0070C0"/>
                <w:sz w:val="18"/>
                <w:szCs w:val="18"/>
              </w:rPr>
            </w:pPr>
            <w:r w:rsidRPr="003A6FDC">
              <w:rPr>
                <w:rFonts w:cstheme="minorHAnsi"/>
                <w:sz w:val="18"/>
                <w:szCs w:val="18"/>
              </w:rPr>
              <w:t>KM6 Zamieszczenie pierwszych obiektów w systemie- rozpoczęcie świadczenia usług</w:t>
            </w:r>
          </w:p>
        </w:tc>
        <w:tc>
          <w:tcPr>
            <w:tcW w:w="1507" w:type="dxa"/>
          </w:tcPr>
          <w:p w14:paraId="5E8B9E91" w14:textId="77777777" w:rsidR="006717C5" w:rsidRPr="003A6FDC" w:rsidRDefault="006717C5" w:rsidP="006F7AE7">
            <w:pPr>
              <w:rPr>
                <w:rFonts w:cstheme="minorHAnsi"/>
                <w:sz w:val="18"/>
                <w:szCs w:val="18"/>
              </w:rPr>
            </w:pPr>
            <w:r w:rsidRPr="003A6FDC">
              <w:rPr>
                <w:rFonts w:cstheme="minorHAnsi"/>
                <w:sz w:val="18"/>
                <w:szCs w:val="18"/>
              </w:rPr>
              <w:t>2., 3.</w:t>
            </w:r>
          </w:p>
        </w:tc>
        <w:tc>
          <w:tcPr>
            <w:tcW w:w="1289" w:type="dxa"/>
          </w:tcPr>
          <w:p w14:paraId="2D4EF9EB"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01-2020</w:t>
            </w:r>
          </w:p>
        </w:tc>
        <w:tc>
          <w:tcPr>
            <w:tcW w:w="1914" w:type="dxa"/>
          </w:tcPr>
          <w:p w14:paraId="49D66CA9" w14:textId="580E4DBB" w:rsidR="006717C5" w:rsidRPr="003A6FDC" w:rsidRDefault="003A6FDC" w:rsidP="006F7AE7">
            <w:pPr>
              <w:pStyle w:val="Akapitzlist"/>
              <w:ind w:left="7"/>
              <w:rPr>
                <w:rFonts w:cstheme="minorHAnsi"/>
                <w:sz w:val="18"/>
                <w:szCs w:val="18"/>
                <w:lang w:eastAsia="pl-PL"/>
              </w:rPr>
            </w:pPr>
            <w:r w:rsidRPr="003A6FDC">
              <w:rPr>
                <w:rFonts w:cstheme="minorHAnsi"/>
                <w:sz w:val="18"/>
                <w:szCs w:val="18"/>
                <w:lang w:eastAsia="pl-PL"/>
              </w:rPr>
              <w:t>12-2019</w:t>
            </w:r>
          </w:p>
        </w:tc>
        <w:tc>
          <w:tcPr>
            <w:tcW w:w="2802" w:type="dxa"/>
          </w:tcPr>
          <w:p w14:paraId="42136364" w14:textId="0881545F" w:rsidR="006717C5" w:rsidRPr="003A6FDC" w:rsidRDefault="003A6FDC" w:rsidP="006F7AE7">
            <w:pPr>
              <w:rPr>
                <w:rFonts w:cstheme="minorHAnsi"/>
                <w:sz w:val="18"/>
                <w:szCs w:val="18"/>
              </w:rPr>
            </w:pPr>
            <w:r w:rsidRPr="003A6FDC">
              <w:rPr>
                <w:rFonts w:cstheme="minorHAnsi"/>
                <w:sz w:val="18"/>
                <w:szCs w:val="18"/>
              </w:rPr>
              <w:t>- osiągnięty</w:t>
            </w:r>
          </w:p>
        </w:tc>
      </w:tr>
      <w:tr w:rsidR="006717C5" w:rsidRPr="003A6FDC" w14:paraId="54C4CA0B" w14:textId="77777777" w:rsidTr="006717C5">
        <w:tc>
          <w:tcPr>
            <w:tcW w:w="2127" w:type="dxa"/>
          </w:tcPr>
          <w:p w14:paraId="22133583" w14:textId="77777777" w:rsidR="006717C5" w:rsidRPr="003A6FDC" w:rsidRDefault="006717C5" w:rsidP="006F7AE7">
            <w:pPr>
              <w:rPr>
                <w:rFonts w:cstheme="minorHAnsi"/>
                <w:color w:val="0070C0"/>
                <w:sz w:val="18"/>
                <w:szCs w:val="18"/>
              </w:rPr>
            </w:pPr>
            <w:r w:rsidRPr="003A6FDC">
              <w:rPr>
                <w:rFonts w:cstheme="minorHAnsi"/>
                <w:sz w:val="18"/>
                <w:szCs w:val="18"/>
              </w:rPr>
              <w:t>KM7 Zamieszczenie 50% zasobów w systemie</w:t>
            </w:r>
          </w:p>
        </w:tc>
        <w:tc>
          <w:tcPr>
            <w:tcW w:w="1507" w:type="dxa"/>
          </w:tcPr>
          <w:p w14:paraId="55F8BA08" w14:textId="77777777" w:rsidR="006717C5" w:rsidRPr="003A6FDC" w:rsidRDefault="006717C5" w:rsidP="006F7AE7">
            <w:pPr>
              <w:rPr>
                <w:rFonts w:cstheme="minorHAnsi"/>
                <w:sz w:val="18"/>
                <w:szCs w:val="18"/>
              </w:rPr>
            </w:pPr>
            <w:r w:rsidRPr="003A6FDC">
              <w:rPr>
                <w:rFonts w:cstheme="minorHAnsi"/>
                <w:sz w:val="18"/>
                <w:szCs w:val="18"/>
              </w:rPr>
              <w:t xml:space="preserve">2. - 4500 sztuk, </w:t>
            </w:r>
          </w:p>
          <w:p w14:paraId="42059DC5" w14:textId="77777777" w:rsidR="006717C5" w:rsidRPr="003A6FDC" w:rsidRDefault="006717C5" w:rsidP="006F7AE7">
            <w:pPr>
              <w:rPr>
                <w:rFonts w:cstheme="minorHAnsi"/>
                <w:sz w:val="18"/>
                <w:szCs w:val="18"/>
              </w:rPr>
            </w:pPr>
            <w:r w:rsidRPr="003A6FDC">
              <w:rPr>
                <w:rFonts w:cstheme="minorHAnsi"/>
                <w:sz w:val="18"/>
                <w:szCs w:val="18"/>
              </w:rPr>
              <w:t>3. – 4250 szt.</w:t>
            </w:r>
          </w:p>
          <w:p w14:paraId="6C8278BD" w14:textId="77777777" w:rsidR="006717C5" w:rsidRPr="003A6FDC" w:rsidRDefault="006717C5" w:rsidP="006F7AE7">
            <w:pPr>
              <w:rPr>
                <w:rFonts w:cstheme="minorHAnsi"/>
                <w:sz w:val="18"/>
                <w:szCs w:val="18"/>
              </w:rPr>
            </w:pPr>
          </w:p>
        </w:tc>
        <w:tc>
          <w:tcPr>
            <w:tcW w:w="1289" w:type="dxa"/>
          </w:tcPr>
          <w:p w14:paraId="645ED342"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10-2021</w:t>
            </w:r>
          </w:p>
        </w:tc>
        <w:tc>
          <w:tcPr>
            <w:tcW w:w="1914" w:type="dxa"/>
          </w:tcPr>
          <w:p w14:paraId="24DB7AB2" w14:textId="77777777" w:rsidR="006717C5" w:rsidRPr="003A6FDC" w:rsidRDefault="006717C5" w:rsidP="006F7AE7">
            <w:pPr>
              <w:pStyle w:val="Akapitzlist"/>
              <w:ind w:left="7"/>
              <w:rPr>
                <w:rFonts w:cstheme="minorHAnsi"/>
                <w:sz w:val="18"/>
                <w:szCs w:val="18"/>
                <w:lang w:eastAsia="pl-PL"/>
              </w:rPr>
            </w:pPr>
          </w:p>
        </w:tc>
        <w:tc>
          <w:tcPr>
            <w:tcW w:w="2802" w:type="dxa"/>
          </w:tcPr>
          <w:p w14:paraId="12FED1D6"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3A6FDC" w14:paraId="5EB4A0D5" w14:textId="77777777" w:rsidTr="006717C5">
        <w:tc>
          <w:tcPr>
            <w:tcW w:w="2127" w:type="dxa"/>
          </w:tcPr>
          <w:p w14:paraId="1C87F6E4" w14:textId="77777777" w:rsidR="006717C5" w:rsidRPr="003A6FDC" w:rsidRDefault="006717C5" w:rsidP="006F7AE7">
            <w:pPr>
              <w:rPr>
                <w:rFonts w:cstheme="minorHAnsi"/>
                <w:color w:val="0070C0"/>
                <w:sz w:val="18"/>
                <w:szCs w:val="18"/>
              </w:rPr>
            </w:pPr>
            <w:r w:rsidRPr="003A6FDC">
              <w:rPr>
                <w:rFonts w:cstheme="minorHAnsi"/>
                <w:sz w:val="18"/>
                <w:szCs w:val="18"/>
              </w:rPr>
              <w:t>KM8 Uruchomienie/ wdrożenie systemu z podstawowymi funkcjami</w:t>
            </w:r>
          </w:p>
        </w:tc>
        <w:tc>
          <w:tcPr>
            <w:tcW w:w="1507" w:type="dxa"/>
          </w:tcPr>
          <w:p w14:paraId="27175C13" w14:textId="77777777" w:rsidR="006717C5" w:rsidRPr="003A6FDC" w:rsidRDefault="006717C5" w:rsidP="006F7AE7">
            <w:pPr>
              <w:rPr>
                <w:rFonts w:cstheme="minorHAnsi"/>
                <w:sz w:val="18"/>
                <w:szCs w:val="18"/>
              </w:rPr>
            </w:pPr>
            <w:r w:rsidRPr="003A6FDC">
              <w:rPr>
                <w:rFonts w:cstheme="minorHAnsi"/>
                <w:sz w:val="18"/>
                <w:szCs w:val="18"/>
              </w:rPr>
              <w:t xml:space="preserve">1 – 2 szt.., 4. – 2 szt., </w:t>
            </w:r>
          </w:p>
        </w:tc>
        <w:tc>
          <w:tcPr>
            <w:tcW w:w="1289" w:type="dxa"/>
          </w:tcPr>
          <w:p w14:paraId="4634172C"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01-2020</w:t>
            </w:r>
          </w:p>
        </w:tc>
        <w:tc>
          <w:tcPr>
            <w:tcW w:w="1914" w:type="dxa"/>
          </w:tcPr>
          <w:p w14:paraId="5769DDC2" w14:textId="64815BBB" w:rsidR="006717C5" w:rsidRPr="003A6FDC" w:rsidRDefault="003A6FDC" w:rsidP="006F7AE7">
            <w:pPr>
              <w:pStyle w:val="Akapitzlist"/>
              <w:ind w:left="7"/>
              <w:rPr>
                <w:rFonts w:cstheme="minorHAnsi"/>
                <w:sz w:val="18"/>
                <w:szCs w:val="18"/>
                <w:lang w:eastAsia="pl-PL"/>
              </w:rPr>
            </w:pPr>
            <w:r w:rsidRPr="003A6FDC">
              <w:rPr>
                <w:rFonts w:cstheme="minorHAnsi"/>
                <w:sz w:val="18"/>
                <w:szCs w:val="18"/>
                <w:lang w:eastAsia="pl-PL"/>
              </w:rPr>
              <w:t>12-2019</w:t>
            </w:r>
          </w:p>
        </w:tc>
        <w:tc>
          <w:tcPr>
            <w:tcW w:w="2802" w:type="dxa"/>
          </w:tcPr>
          <w:p w14:paraId="136D2F19" w14:textId="599C6A52" w:rsidR="006717C5" w:rsidRPr="003A6FDC" w:rsidRDefault="003A6FDC" w:rsidP="006F7AE7">
            <w:pPr>
              <w:rPr>
                <w:rFonts w:cstheme="minorHAnsi"/>
                <w:sz w:val="18"/>
                <w:szCs w:val="18"/>
              </w:rPr>
            </w:pPr>
            <w:r w:rsidRPr="003A6FDC">
              <w:rPr>
                <w:rFonts w:cstheme="minorHAnsi"/>
                <w:sz w:val="18"/>
                <w:szCs w:val="18"/>
              </w:rPr>
              <w:t>- osiągnięty</w:t>
            </w:r>
          </w:p>
        </w:tc>
      </w:tr>
      <w:tr w:rsidR="006717C5" w:rsidRPr="003A6FDC" w14:paraId="70C47B6E" w14:textId="77777777" w:rsidTr="006717C5">
        <w:tc>
          <w:tcPr>
            <w:tcW w:w="2127" w:type="dxa"/>
          </w:tcPr>
          <w:p w14:paraId="528AE18C" w14:textId="77777777" w:rsidR="006717C5" w:rsidRPr="003A6FDC" w:rsidRDefault="006717C5" w:rsidP="006F7AE7">
            <w:pPr>
              <w:rPr>
                <w:rFonts w:cstheme="minorHAnsi"/>
                <w:color w:val="0070C0"/>
                <w:sz w:val="18"/>
                <w:szCs w:val="18"/>
              </w:rPr>
            </w:pPr>
            <w:r w:rsidRPr="003A6FDC">
              <w:rPr>
                <w:rFonts w:cstheme="minorHAnsi"/>
                <w:sz w:val="18"/>
                <w:szCs w:val="18"/>
              </w:rPr>
              <w:t>KM 9 drożenie systemu w pełnej funkcjonalności</w:t>
            </w:r>
          </w:p>
        </w:tc>
        <w:tc>
          <w:tcPr>
            <w:tcW w:w="1507" w:type="dxa"/>
          </w:tcPr>
          <w:p w14:paraId="34FB8D5B" w14:textId="77777777" w:rsidR="006717C5" w:rsidRPr="003A6FDC" w:rsidRDefault="006717C5" w:rsidP="006F7AE7">
            <w:pPr>
              <w:rPr>
                <w:rFonts w:cstheme="minorHAnsi"/>
                <w:sz w:val="18"/>
                <w:szCs w:val="18"/>
              </w:rPr>
            </w:pPr>
            <w:r w:rsidRPr="003A6FDC">
              <w:rPr>
                <w:rFonts w:cstheme="minorHAnsi"/>
                <w:sz w:val="18"/>
                <w:szCs w:val="18"/>
              </w:rPr>
              <w:t xml:space="preserve">1 – 2 szt.., 4. – 2 szt., </w:t>
            </w:r>
          </w:p>
        </w:tc>
        <w:tc>
          <w:tcPr>
            <w:tcW w:w="1289" w:type="dxa"/>
          </w:tcPr>
          <w:p w14:paraId="316A9934"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09-2020</w:t>
            </w:r>
          </w:p>
        </w:tc>
        <w:tc>
          <w:tcPr>
            <w:tcW w:w="1914" w:type="dxa"/>
          </w:tcPr>
          <w:p w14:paraId="61841BC2"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2429C056" w14:textId="77777777" w:rsidR="006717C5" w:rsidRPr="003A6FDC" w:rsidRDefault="006717C5" w:rsidP="006F7AE7">
            <w:pPr>
              <w:rPr>
                <w:rFonts w:cstheme="minorHAnsi"/>
                <w:sz w:val="18"/>
                <w:szCs w:val="18"/>
              </w:rPr>
            </w:pPr>
            <w:r w:rsidRPr="003A6FDC">
              <w:rPr>
                <w:rFonts w:cstheme="minorHAnsi"/>
                <w:sz w:val="18"/>
                <w:szCs w:val="18"/>
              </w:rPr>
              <w:t>- planowany</w:t>
            </w:r>
          </w:p>
        </w:tc>
      </w:tr>
      <w:tr w:rsidR="006717C5" w:rsidRPr="00F528B3" w14:paraId="78C4CBE5" w14:textId="77777777" w:rsidTr="006717C5">
        <w:tc>
          <w:tcPr>
            <w:tcW w:w="2127" w:type="dxa"/>
          </w:tcPr>
          <w:p w14:paraId="3CC02325" w14:textId="77777777" w:rsidR="006717C5" w:rsidRPr="003A6FDC" w:rsidRDefault="006717C5" w:rsidP="006F7AE7">
            <w:pPr>
              <w:rPr>
                <w:rFonts w:cstheme="minorHAnsi"/>
                <w:color w:val="0070C0"/>
                <w:sz w:val="18"/>
                <w:szCs w:val="18"/>
              </w:rPr>
            </w:pPr>
            <w:r w:rsidRPr="003A6FDC">
              <w:rPr>
                <w:rFonts w:cstheme="minorHAnsi"/>
                <w:sz w:val="18"/>
                <w:szCs w:val="18"/>
              </w:rPr>
              <w:t>KM10 Udostępnienie pierwszego pakietu promocyjno-informacyjnego</w:t>
            </w:r>
          </w:p>
        </w:tc>
        <w:tc>
          <w:tcPr>
            <w:tcW w:w="1507" w:type="dxa"/>
          </w:tcPr>
          <w:p w14:paraId="321129C5" w14:textId="77777777" w:rsidR="006717C5" w:rsidRPr="003A6FDC" w:rsidRDefault="006717C5" w:rsidP="006F7AE7">
            <w:pPr>
              <w:rPr>
                <w:rFonts w:cstheme="minorHAnsi"/>
                <w:sz w:val="18"/>
                <w:szCs w:val="18"/>
              </w:rPr>
            </w:pPr>
            <w:r w:rsidRPr="003A6FDC">
              <w:rPr>
                <w:rFonts w:cstheme="minorHAnsi"/>
                <w:sz w:val="18"/>
                <w:szCs w:val="18"/>
              </w:rPr>
              <w:t>Brak</w:t>
            </w:r>
          </w:p>
        </w:tc>
        <w:tc>
          <w:tcPr>
            <w:tcW w:w="1289" w:type="dxa"/>
          </w:tcPr>
          <w:p w14:paraId="577C308C" w14:textId="77777777" w:rsidR="006717C5" w:rsidRPr="003A6FDC" w:rsidRDefault="006717C5" w:rsidP="006F7AE7">
            <w:pPr>
              <w:rPr>
                <w:rFonts w:cstheme="minorHAnsi"/>
                <w:sz w:val="18"/>
                <w:szCs w:val="18"/>
                <w:lang w:eastAsia="pl-PL"/>
              </w:rPr>
            </w:pPr>
            <w:r w:rsidRPr="003A6FDC">
              <w:rPr>
                <w:rFonts w:cstheme="minorHAnsi"/>
                <w:sz w:val="18"/>
                <w:szCs w:val="18"/>
                <w:lang w:eastAsia="pl-PL"/>
              </w:rPr>
              <w:t>04-2020</w:t>
            </w:r>
          </w:p>
        </w:tc>
        <w:tc>
          <w:tcPr>
            <w:tcW w:w="1914" w:type="dxa"/>
          </w:tcPr>
          <w:p w14:paraId="525F5DB9" w14:textId="77777777" w:rsidR="006717C5" w:rsidRPr="003A6FDC" w:rsidRDefault="006717C5" w:rsidP="006F7AE7">
            <w:pPr>
              <w:pStyle w:val="Akapitzlist"/>
              <w:ind w:left="7"/>
              <w:rPr>
                <w:rFonts w:cstheme="minorHAnsi"/>
                <w:color w:val="0070C0"/>
                <w:sz w:val="18"/>
                <w:szCs w:val="18"/>
                <w:lang w:eastAsia="pl-PL"/>
              </w:rPr>
            </w:pPr>
          </w:p>
        </w:tc>
        <w:tc>
          <w:tcPr>
            <w:tcW w:w="2802" w:type="dxa"/>
          </w:tcPr>
          <w:p w14:paraId="2F9B6D81" w14:textId="77777777" w:rsidR="006717C5" w:rsidRPr="00F528B3" w:rsidRDefault="006717C5" w:rsidP="006F7AE7">
            <w:pPr>
              <w:rPr>
                <w:rFonts w:cstheme="minorHAnsi"/>
                <w:sz w:val="18"/>
                <w:szCs w:val="18"/>
              </w:rPr>
            </w:pPr>
            <w:r w:rsidRPr="003A6FDC">
              <w:rPr>
                <w:rFonts w:cstheme="minorHAnsi"/>
                <w:sz w:val="18"/>
                <w:szCs w:val="18"/>
              </w:rPr>
              <w:t>- planowany</w:t>
            </w:r>
          </w:p>
        </w:tc>
      </w:tr>
    </w:tbl>
    <w:p w14:paraId="64ADCCB0" w14:textId="7558A035" w:rsidR="00141A92" w:rsidRPr="00141A92" w:rsidRDefault="00CF2E64" w:rsidP="00141A92">
      <w:pPr>
        <w:spacing w:before="240" w:after="120"/>
        <w:rPr>
          <w:rFonts w:ascii="Arial" w:hAnsi="Arial" w:cs="Arial"/>
          <w:b/>
          <w:sz w:val="20"/>
          <w:szCs w:val="20"/>
        </w:rPr>
      </w:pPr>
      <w:r w:rsidRPr="00141A92">
        <w:rPr>
          <w:rFonts w:ascii="Arial" w:hAnsi="Arial" w:cs="Arial"/>
          <w:b/>
          <w:sz w:val="20"/>
          <w:szCs w:val="20"/>
        </w:rPr>
        <w:t>Wskaźniki efektywności projektu (KPI)</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545"/>
        <w:gridCol w:w="1278"/>
        <w:gridCol w:w="1842"/>
        <w:gridCol w:w="1701"/>
        <w:gridCol w:w="2268"/>
      </w:tblGrid>
      <w:tr w:rsidR="006717C5" w:rsidRPr="00F528B3" w14:paraId="234BB1AD" w14:textId="77777777" w:rsidTr="006F7AE7">
        <w:trPr>
          <w:tblHeader/>
        </w:trPr>
        <w:tc>
          <w:tcPr>
            <w:tcW w:w="2545" w:type="dxa"/>
            <w:shd w:val="clear" w:color="auto" w:fill="D0CECE"/>
            <w:vAlign w:val="center"/>
          </w:tcPr>
          <w:p w14:paraId="0AC0A693"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Nazwa</w:t>
            </w:r>
          </w:p>
        </w:tc>
        <w:tc>
          <w:tcPr>
            <w:tcW w:w="1278" w:type="dxa"/>
            <w:shd w:val="clear" w:color="auto" w:fill="D0CECE"/>
            <w:vAlign w:val="center"/>
          </w:tcPr>
          <w:p w14:paraId="1BC312FF"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Jedn. miary</w:t>
            </w:r>
          </w:p>
        </w:tc>
        <w:tc>
          <w:tcPr>
            <w:tcW w:w="1842" w:type="dxa"/>
            <w:shd w:val="clear" w:color="auto" w:fill="D0CECE"/>
            <w:vAlign w:val="center"/>
          </w:tcPr>
          <w:p w14:paraId="25BC7FF4"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 xml:space="preserve">Wartość </w:t>
            </w:r>
          </w:p>
          <w:p w14:paraId="4B8579C6"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docelowa</w:t>
            </w:r>
          </w:p>
        </w:tc>
        <w:tc>
          <w:tcPr>
            <w:tcW w:w="1701" w:type="dxa"/>
            <w:shd w:val="clear" w:color="auto" w:fill="D0CECE"/>
            <w:vAlign w:val="center"/>
          </w:tcPr>
          <w:p w14:paraId="5A9D7B5E"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Planowany termin osiągnięcia</w:t>
            </w:r>
          </w:p>
        </w:tc>
        <w:tc>
          <w:tcPr>
            <w:tcW w:w="2268" w:type="dxa"/>
            <w:shd w:val="clear" w:color="auto" w:fill="D0CECE"/>
            <w:vAlign w:val="center"/>
          </w:tcPr>
          <w:p w14:paraId="6692A834"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Wartość osiągnięta od początku realizacji projektu (narastająco)</w:t>
            </w:r>
          </w:p>
        </w:tc>
      </w:tr>
      <w:tr w:rsidR="006717C5" w:rsidRPr="002F1EB2" w14:paraId="170F60B4" w14:textId="77777777" w:rsidTr="006F7AE7">
        <w:tc>
          <w:tcPr>
            <w:tcW w:w="2545" w:type="dxa"/>
          </w:tcPr>
          <w:p w14:paraId="29EC0B12"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podmiotów, które udostępniły on-line informacje sektora publicznego. </w:t>
            </w:r>
          </w:p>
        </w:tc>
        <w:tc>
          <w:tcPr>
            <w:tcW w:w="1278" w:type="dxa"/>
          </w:tcPr>
          <w:p w14:paraId="5F71877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216760A3"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15F316B9"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01-2021</w:t>
            </w:r>
          </w:p>
        </w:tc>
        <w:tc>
          <w:tcPr>
            <w:tcW w:w="2268" w:type="dxa"/>
          </w:tcPr>
          <w:p w14:paraId="29BB71F4"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6BAC744D" w14:textId="77777777" w:rsidTr="006F7AE7">
        <w:tc>
          <w:tcPr>
            <w:tcW w:w="2545" w:type="dxa"/>
          </w:tcPr>
          <w:p w14:paraId="43FDA2AC" w14:textId="77777777" w:rsidR="006717C5" w:rsidRPr="00606B81" w:rsidRDefault="006717C5" w:rsidP="006717C5">
            <w:pPr>
              <w:pStyle w:val="Akapitzlist"/>
              <w:numPr>
                <w:ilvl w:val="0"/>
                <w:numId w:val="21"/>
              </w:numPr>
              <w:spacing w:after="0" w:line="240" w:lineRule="auto"/>
              <w:contextualSpacing w:val="0"/>
              <w:rPr>
                <w:rFonts w:cstheme="minorHAnsi"/>
                <w:sz w:val="18"/>
                <w:szCs w:val="18"/>
                <w:lang w:eastAsia="pl-PL"/>
              </w:rPr>
            </w:pPr>
            <w:r w:rsidRPr="00606B81">
              <w:rPr>
                <w:rFonts w:cstheme="minorHAnsi"/>
                <w:sz w:val="18"/>
                <w:szCs w:val="18"/>
                <w:lang w:eastAsia="pl-PL"/>
              </w:rPr>
              <w:t xml:space="preserve">Liczba zdigitalizowanych dokumentów zawierających informacje sektora publicznego.  </w:t>
            </w:r>
          </w:p>
        </w:tc>
        <w:tc>
          <w:tcPr>
            <w:tcW w:w="1278" w:type="dxa"/>
          </w:tcPr>
          <w:p w14:paraId="74566CAF" w14:textId="77777777" w:rsidR="006717C5" w:rsidRPr="00606B81" w:rsidRDefault="006717C5" w:rsidP="006F7AE7">
            <w:pPr>
              <w:spacing w:after="0" w:line="240" w:lineRule="auto"/>
              <w:rPr>
                <w:rFonts w:cstheme="minorHAnsi"/>
                <w:sz w:val="18"/>
                <w:szCs w:val="18"/>
              </w:rPr>
            </w:pPr>
            <w:r w:rsidRPr="00606B81">
              <w:rPr>
                <w:rFonts w:cstheme="minorHAnsi"/>
                <w:sz w:val="18"/>
                <w:szCs w:val="18"/>
              </w:rPr>
              <w:t>Szt.</w:t>
            </w:r>
          </w:p>
        </w:tc>
        <w:tc>
          <w:tcPr>
            <w:tcW w:w="1842" w:type="dxa"/>
          </w:tcPr>
          <w:p w14:paraId="32946B5D" w14:textId="77777777" w:rsidR="006717C5" w:rsidRPr="00606B81" w:rsidRDefault="006717C5" w:rsidP="006F7AE7">
            <w:pPr>
              <w:spacing w:after="0" w:line="240" w:lineRule="auto"/>
              <w:rPr>
                <w:rFonts w:cstheme="minorHAnsi"/>
                <w:sz w:val="18"/>
                <w:szCs w:val="18"/>
              </w:rPr>
            </w:pPr>
            <w:r w:rsidRPr="00606B81">
              <w:rPr>
                <w:rFonts w:cstheme="minorHAnsi"/>
                <w:sz w:val="18"/>
                <w:szCs w:val="18"/>
              </w:rPr>
              <w:t>9000</w:t>
            </w:r>
          </w:p>
        </w:tc>
        <w:tc>
          <w:tcPr>
            <w:tcW w:w="1701" w:type="dxa"/>
          </w:tcPr>
          <w:p w14:paraId="02E796F2" w14:textId="1B949737" w:rsidR="006717C5" w:rsidRPr="00606B81" w:rsidRDefault="006717C5" w:rsidP="006F7AE7">
            <w:pPr>
              <w:spacing w:after="0" w:line="240" w:lineRule="auto"/>
              <w:rPr>
                <w:rFonts w:cstheme="minorHAnsi"/>
                <w:sz w:val="18"/>
                <w:szCs w:val="18"/>
                <w:lang w:eastAsia="pl-PL"/>
              </w:rPr>
            </w:pPr>
            <w:r w:rsidRPr="00606B81">
              <w:rPr>
                <w:rFonts w:cstheme="minorHAnsi"/>
                <w:sz w:val="18"/>
                <w:szCs w:val="18"/>
              </w:rPr>
              <w:t>01-202</w:t>
            </w:r>
            <w:r w:rsidR="002F1EB2" w:rsidRPr="00606B81">
              <w:rPr>
                <w:rFonts w:cstheme="minorHAnsi"/>
                <w:sz w:val="18"/>
                <w:szCs w:val="18"/>
              </w:rPr>
              <w:t>2</w:t>
            </w:r>
          </w:p>
        </w:tc>
        <w:tc>
          <w:tcPr>
            <w:tcW w:w="2268" w:type="dxa"/>
          </w:tcPr>
          <w:p w14:paraId="09967252" w14:textId="5BA6F0F9" w:rsidR="00B77F7B" w:rsidRPr="002F1EB2" w:rsidRDefault="00B77F7B" w:rsidP="006F7AE7">
            <w:pPr>
              <w:spacing w:after="0" w:line="240" w:lineRule="auto"/>
              <w:rPr>
                <w:rFonts w:cstheme="minorHAnsi"/>
                <w:sz w:val="18"/>
                <w:szCs w:val="18"/>
              </w:rPr>
            </w:pPr>
            <w:r w:rsidRPr="00606B81">
              <w:rPr>
                <w:rFonts w:cstheme="minorHAnsi"/>
                <w:sz w:val="18"/>
                <w:szCs w:val="18"/>
              </w:rPr>
              <w:t>181000</w:t>
            </w:r>
          </w:p>
        </w:tc>
      </w:tr>
      <w:tr w:rsidR="006717C5" w:rsidRPr="002F1EB2" w14:paraId="2C45C710" w14:textId="77777777" w:rsidTr="006F7AE7">
        <w:tc>
          <w:tcPr>
            <w:tcW w:w="2545" w:type="dxa"/>
          </w:tcPr>
          <w:p w14:paraId="51F6ADDD"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udostępnionych on-line dokumentów zawierających informacje sektora publicznego </w:t>
            </w:r>
          </w:p>
        </w:tc>
        <w:tc>
          <w:tcPr>
            <w:tcW w:w="1278" w:type="dxa"/>
          </w:tcPr>
          <w:p w14:paraId="7F78EA99"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5CCCDE53"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8500</w:t>
            </w:r>
          </w:p>
        </w:tc>
        <w:tc>
          <w:tcPr>
            <w:tcW w:w="1701" w:type="dxa"/>
          </w:tcPr>
          <w:p w14:paraId="3A7A01FA" w14:textId="414A3C50"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w:t>
            </w:r>
            <w:r w:rsidR="002F1EB2" w:rsidRPr="002F1EB2">
              <w:rPr>
                <w:rFonts w:cstheme="minorHAnsi"/>
                <w:sz w:val="18"/>
                <w:szCs w:val="18"/>
              </w:rPr>
              <w:t>2</w:t>
            </w:r>
          </w:p>
        </w:tc>
        <w:tc>
          <w:tcPr>
            <w:tcW w:w="2268" w:type="dxa"/>
          </w:tcPr>
          <w:p w14:paraId="75AA95E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564DFF63" w14:textId="77777777" w:rsidTr="006F7AE7">
        <w:tc>
          <w:tcPr>
            <w:tcW w:w="2545" w:type="dxa"/>
          </w:tcPr>
          <w:p w14:paraId="0BF28C4E"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utworzonych API </w:t>
            </w:r>
          </w:p>
        </w:tc>
        <w:tc>
          <w:tcPr>
            <w:tcW w:w="1278" w:type="dxa"/>
          </w:tcPr>
          <w:p w14:paraId="72FD377E"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7746CE96"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72704D65"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01-2021</w:t>
            </w:r>
          </w:p>
        </w:tc>
        <w:tc>
          <w:tcPr>
            <w:tcW w:w="2268" w:type="dxa"/>
          </w:tcPr>
          <w:p w14:paraId="5956141A"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5CD58236" w14:textId="77777777" w:rsidTr="006F7AE7">
        <w:tc>
          <w:tcPr>
            <w:tcW w:w="2545" w:type="dxa"/>
          </w:tcPr>
          <w:p w14:paraId="094B5FEC"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lastRenderedPageBreak/>
              <w:t>Liczba baz danych udostępnionych on-line poprzez API</w:t>
            </w:r>
          </w:p>
        </w:tc>
        <w:tc>
          <w:tcPr>
            <w:tcW w:w="1278" w:type="dxa"/>
          </w:tcPr>
          <w:p w14:paraId="2BAB83E1"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Szt.</w:t>
            </w:r>
          </w:p>
        </w:tc>
        <w:tc>
          <w:tcPr>
            <w:tcW w:w="1842" w:type="dxa"/>
          </w:tcPr>
          <w:p w14:paraId="6DEF097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w:t>
            </w:r>
          </w:p>
        </w:tc>
        <w:tc>
          <w:tcPr>
            <w:tcW w:w="1701" w:type="dxa"/>
          </w:tcPr>
          <w:p w14:paraId="064B9D1D"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rPr>
              <w:t>01-2021</w:t>
            </w:r>
          </w:p>
        </w:tc>
        <w:tc>
          <w:tcPr>
            <w:tcW w:w="2268" w:type="dxa"/>
          </w:tcPr>
          <w:p w14:paraId="1DD7048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27183892" w14:textId="77777777" w:rsidTr="006F7AE7">
        <w:tc>
          <w:tcPr>
            <w:tcW w:w="2545" w:type="dxa"/>
          </w:tcPr>
          <w:p w14:paraId="05F1434A"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 xml:space="preserve">Liczba pobrań/odtworzeń dokumentów zawierających informacje sektora publicznego </w:t>
            </w:r>
          </w:p>
        </w:tc>
        <w:tc>
          <w:tcPr>
            <w:tcW w:w="1278" w:type="dxa"/>
          </w:tcPr>
          <w:p w14:paraId="13AF100E" w14:textId="77777777" w:rsidR="006717C5" w:rsidRPr="002F1EB2" w:rsidRDefault="006717C5" w:rsidP="006F7AE7">
            <w:pPr>
              <w:spacing w:after="0" w:line="240" w:lineRule="auto"/>
              <w:rPr>
                <w:rFonts w:cstheme="minorHAnsi"/>
                <w:sz w:val="18"/>
                <w:szCs w:val="18"/>
              </w:rPr>
            </w:pPr>
            <w:r w:rsidRPr="002F1EB2">
              <w:rPr>
                <w:rFonts w:cstheme="minorHAnsi"/>
                <w:sz w:val="18"/>
                <w:szCs w:val="18"/>
                <w:lang w:eastAsia="pl-PL"/>
              </w:rPr>
              <w:t>Szt./rok</w:t>
            </w:r>
          </w:p>
        </w:tc>
        <w:tc>
          <w:tcPr>
            <w:tcW w:w="1842" w:type="dxa"/>
          </w:tcPr>
          <w:p w14:paraId="3E0795F8"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180000</w:t>
            </w:r>
          </w:p>
        </w:tc>
        <w:tc>
          <w:tcPr>
            <w:tcW w:w="1701" w:type="dxa"/>
          </w:tcPr>
          <w:p w14:paraId="44111D5D"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2023-02</w:t>
            </w:r>
          </w:p>
        </w:tc>
        <w:tc>
          <w:tcPr>
            <w:tcW w:w="2268" w:type="dxa"/>
          </w:tcPr>
          <w:p w14:paraId="5FA0638E"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2F1EB2" w14:paraId="4DB3670B" w14:textId="77777777" w:rsidTr="006F7AE7">
        <w:tc>
          <w:tcPr>
            <w:tcW w:w="2545" w:type="dxa"/>
          </w:tcPr>
          <w:p w14:paraId="673F07C9" w14:textId="77777777" w:rsidR="006717C5" w:rsidRPr="00B77F7B" w:rsidRDefault="006717C5" w:rsidP="006717C5">
            <w:pPr>
              <w:pStyle w:val="Akapitzlist"/>
              <w:numPr>
                <w:ilvl w:val="0"/>
                <w:numId w:val="21"/>
              </w:numPr>
              <w:spacing w:after="0" w:line="240" w:lineRule="auto"/>
              <w:contextualSpacing w:val="0"/>
              <w:rPr>
                <w:rFonts w:cstheme="minorHAnsi"/>
                <w:sz w:val="18"/>
                <w:szCs w:val="18"/>
                <w:lang w:eastAsia="pl-PL"/>
              </w:rPr>
            </w:pPr>
            <w:r w:rsidRPr="00B77F7B">
              <w:rPr>
                <w:rFonts w:cstheme="minorHAnsi"/>
                <w:sz w:val="18"/>
                <w:szCs w:val="18"/>
                <w:lang w:eastAsia="pl-PL"/>
              </w:rPr>
              <w:t>Rozmiar zdigitalizowanej informacji sektora publicznego</w:t>
            </w:r>
          </w:p>
        </w:tc>
        <w:tc>
          <w:tcPr>
            <w:tcW w:w="1278" w:type="dxa"/>
          </w:tcPr>
          <w:p w14:paraId="781AA68C" w14:textId="77777777" w:rsidR="006717C5" w:rsidRPr="00B77F7B" w:rsidRDefault="006717C5" w:rsidP="006F7AE7">
            <w:pPr>
              <w:spacing w:after="0" w:line="240" w:lineRule="auto"/>
              <w:rPr>
                <w:rFonts w:cstheme="minorHAnsi"/>
                <w:sz w:val="18"/>
                <w:szCs w:val="18"/>
                <w:lang w:eastAsia="pl-PL"/>
              </w:rPr>
            </w:pPr>
            <w:r w:rsidRPr="00B77F7B">
              <w:rPr>
                <w:rFonts w:cstheme="minorHAnsi"/>
                <w:sz w:val="18"/>
                <w:szCs w:val="18"/>
                <w:lang w:eastAsia="pl-PL"/>
              </w:rPr>
              <w:t>TB</w:t>
            </w:r>
          </w:p>
        </w:tc>
        <w:tc>
          <w:tcPr>
            <w:tcW w:w="1842" w:type="dxa"/>
          </w:tcPr>
          <w:p w14:paraId="317444B8" w14:textId="77777777" w:rsidR="006717C5" w:rsidRPr="00B77F7B" w:rsidRDefault="006717C5" w:rsidP="006F7AE7">
            <w:pPr>
              <w:spacing w:after="0" w:line="240" w:lineRule="auto"/>
              <w:rPr>
                <w:rFonts w:cstheme="minorHAnsi"/>
                <w:sz w:val="18"/>
                <w:szCs w:val="18"/>
              </w:rPr>
            </w:pPr>
            <w:r w:rsidRPr="00B77F7B">
              <w:rPr>
                <w:rFonts w:cstheme="minorHAnsi"/>
                <w:sz w:val="18"/>
                <w:szCs w:val="18"/>
              </w:rPr>
              <w:t>9,5</w:t>
            </w:r>
          </w:p>
        </w:tc>
        <w:tc>
          <w:tcPr>
            <w:tcW w:w="1701" w:type="dxa"/>
          </w:tcPr>
          <w:p w14:paraId="547D040F" w14:textId="0E880801" w:rsidR="006717C5" w:rsidRPr="00B77F7B" w:rsidRDefault="006717C5" w:rsidP="006F7AE7">
            <w:pPr>
              <w:spacing w:after="0" w:line="240" w:lineRule="auto"/>
              <w:rPr>
                <w:rFonts w:cstheme="minorHAnsi"/>
                <w:sz w:val="18"/>
                <w:szCs w:val="18"/>
              </w:rPr>
            </w:pPr>
            <w:r w:rsidRPr="00B77F7B">
              <w:rPr>
                <w:rFonts w:cstheme="minorHAnsi"/>
                <w:sz w:val="18"/>
                <w:szCs w:val="18"/>
              </w:rPr>
              <w:t>202</w:t>
            </w:r>
            <w:r w:rsidR="002F1EB2" w:rsidRPr="00B77F7B">
              <w:rPr>
                <w:rFonts w:cstheme="minorHAnsi"/>
                <w:sz w:val="18"/>
                <w:szCs w:val="18"/>
              </w:rPr>
              <w:t>2</w:t>
            </w:r>
            <w:r w:rsidRPr="00B77F7B">
              <w:rPr>
                <w:rFonts w:cstheme="minorHAnsi"/>
                <w:sz w:val="18"/>
                <w:szCs w:val="18"/>
              </w:rPr>
              <w:t>-02</w:t>
            </w:r>
          </w:p>
        </w:tc>
        <w:tc>
          <w:tcPr>
            <w:tcW w:w="2268" w:type="dxa"/>
          </w:tcPr>
          <w:p w14:paraId="5B119CA6" w14:textId="6D829727" w:rsidR="00B77F7B" w:rsidRPr="00B77F7B" w:rsidRDefault="00B77F7B" w:rsidP="006F7AE7">
            <w:pPr>
              <w:spacing w:after="0" w:line="240" w:lineRule="auto"/>
              <w:rPr>
                <w:rFonts w:cstheme="minorHAnsi"/>
                <w:sz w:val="18"/>
                <w:szCs w:val="18"/>
              </w:rPr>
            </w:pPr>
            <w:r w:rsidRPr="00B77F7B">
              <w:rPr>
                <w:rFonts w:cstheme="minorHAnsi"/>
                <w:sz w:val="18"/>
                <w:szCs w:val="18"/>
              </w:rPr>
              <w:t>0,47</w:t>
            </w:r>
          </w:p>
        </w:tc>
      </w:tr>
      <w:tr w:rsidR="006717C5" w:rsidRPr="002F1EB2" w14:paraId="5AD463EA" w14:textId="77777777" w:rsidTr="006F7AE7">
        <w:tc>
          <w:tcPr>
            <w:tcW w:w="2545" w:type="dxa"/>
          </w:tcPr>
          <w:p w14:paraId="7684E98F"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Rozmiar udostępnionch on-line informacji sektora publicznego</w:t>
            </w:r>
          </w:p>
        </w:tc>
        <w:tc>
          <w:tcPr>
            <w:tcW w:w="1278" w:type="dxa"/>
          </w:tcPr>
          <w:p w14:paraId="6401079C"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lang w:eastAsia="pl-PL"/>
              </w:rPr>
              <w:t>TB</w:t>
            </w:r>
          </w:p>
        </w:tc>
        <w:tc>
          <w:tcPr>
            <w:tcW w:w="1842" w:type="dxa"/>
          </w:tcPr>
          <w:p w14:paraId="168DE4D5"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4</w:t>
            </w:r>
          </w:p>
        </w:tc>
        <w:tc>
          <w:tcPr>
            <w:tcW w:w="1701" w:type="dxa"/>
          </w:tcPr>
          <w:p w14:paraId="5C908E34" w14:textId="25BB872B" w:rsidR="006717C5" w:rsidRPr="002F1EB2" w:rsidRDefault="006717C5" w:rsidP="006F7AE7">
            <w:pPr>
              <w:spacing w:after="0" w:line="240" w:lineRule="auto"/>
              <w:rPr>
                <w:rFonts w:cstheme="minorHAnsi"/>
                <w:sz w:val="18"/>
                <w:szCs w:val="18"/>
              </w:rPr>
            </w:pPr>
            <w:r w:rsidRPr="002F1EB2">
              <w:rPr>
                <w:rFonts w:cstheme="minorHAnsi"/>
                <w:sz w:val="18"/>
                <w:szCs w:val="18"/>
              </w:rPr>
              <w:t>202</w:t>
            </w:r>
            <w:r w:rsidR="002F1EB2" w:rsidRPr="002F1EB2">
              <w:rPr>
                <w:rFonts w:cstheme="minorHAnsi"/>
                <w:sz w:val="18"/>
                <w:szCs w:val="18"/>
              </w:rPr>
              <w:t>2</w:t>
            </w:r>
            <w:r w:rsidRPr="002F1EB2">
              <w:rPr>
                <w:rFonts w:cstheme="minorHAnsi"/>
                <w:sz w:val="18"/>
                <w:szCs w:val="18"/>
              </w:rPr>
              <w:t>-02</w:t>
            </w:r>
          </w:p>
        </w:tc>
        <w:tc>
          <w:tcPr>
            <w:tcW w:w="2268" w:type="dxa"/>
          </w:tcPr>
          <w:p w14:paraId="30AC3E07"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0</w:t>
            </w:r>
          </w:p>
        </w:tc>
      </w:tr>
      <w:tr w:rsidR="006717C5" w:rsidRPr="00F528B3" w14:paraId="35626C5D" w14:textId="77777777" w:rsidTr="006F7AE7">
        <w:tc>
          <w:tcPr>
            <w:tcW w:w="2545" w:type="dxa"/>
          </w:tcPr>
          <w:p w14:paraId="2109EBE4" w14:textId="77777777" w:rsidR="006717C5" w:rsidRPr="002F1EB2" w:rsidRDefault="006717C5" w:rsidP="006717C5">
            <w:pPr>
              <w:pStyle w:val="Akapitzlist"/>
              <w:numPr>
                <w:ilvl w:val="0"/>
                <w:numId w:val="21"/>
              </w:numPr>
              <w:spacing w:after="0" w:line="240" w:lineRule="auto"/>
              <w:contextualSpacing w:val="0"/>
              <w:rPr>
                <w:rFonts w:cstheme="minorHAnsi"/>
                <w:sz w:val="18"/>
                <w:szCs w:val="18"/>
                <w:lang w:eastAsia="pl-PL"/>
              </w:rPr>
            </w:pPr>
            <w:r w:rsidRPr="002F1EB2">
              <w:rPr>
                <w:rFonts w:cstheme="minorHAnsi"/>
                <w:sz w:val="18"/>
                <w:szCs w:val="18"/>
                <w:lang w:eastAsia="pl-PL"/>
              </w:rPr>
              <w:t>Liczba wygenerowanych kluczy API</w:t>
            </w:r>
          </w:p>
        </w:tc>
        <w:tc>
          <w:tcPr>
            <w:tcW w:w="1278" w:type="dxa"/>
          </w:tcPr>
          <w:p w14:paraId="14AB422D" w14:textId="77777777" w:rsidR="006717C5" w:rsidRPr="002F1EB2" w:rsidRDefault="006717C5" w:rsidP="006F7AE7">
            <w:pPr>
              <w:spacing w:after="0" w:line="240" w:lineRule="auto"/>
              <w:rPr>
                <w:rFonts w:cstheme="minorHAnsi"/>
                <w:sz w:val="18"/>
                <w:szCs w:val="18"/>
                <w:lang w:eastAsia="pl-PL"/>
              </w:rPr>
            </w:pPr>
            <w:r w:rsidRPr="002F1EB2">
              <w:rPr>
                <w:rFonts w:cstheme="minorHAnsi"/>
                <w:sz w:val="18"/>
                <w:szCs w:val="18"/>
                <w:lang w:eastAsia="pl-PL"/>
              </w:rPr>
              <w:t xml:space="preserve">Szt. </w:t>
            </w:r>
          </w:p>
        </w:tc>
        <w:tc>
          <w:tcPr>
            <w:tcW w:w="1842" w:type="dxa"/>
          </w:tcPr>
          <w:p w14:paraId="0916829B"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350</w:t>
            </w:r>
          </w:p>
        </w:tc>
        <w:tc>
          <w:tcPr>
            <w:tcW w:w="1701" w:type="dxa"/>
          </w:tcPr>
          <w:p w14:paraId="3F9D2802" w14:textId="77777777" w:rsidR="006717C5" w:rsidRPr="002F1EB2" w:rsidRDefault="006717C5" w:rsidP="006F7AE7">
            <w:pPr>
              <w:spacing w:after="0" w:line="240" w:lineRule="auto"/>
              <w:rPr>
                <w:rFonts w:cstheme="minorHAnsi"/>
                <w:sz w:val="18"/>
                <w:szCs w:val="18"/>
              </w:rPr>
            </w:pPr>
            <w:r w:rsidRPr="002F1EB2">
              <w:rPr>
                <w:rFonts w:cstheme="minorHAnsi"/>
                <w:sz w:val="18"/>
                <w:szCs w:val="18"/>
              </w:rPr>
              <w:t>2023-02</w:t>
            </w:r>
          </w:p>
        </w:tc>
        <w:tc>
          <w:tcPr>
            <w:tcW w:w="2268" w:type="dxa"/>
          </w:tcPr>
          <w:p w14:paraId="0B14BB4F" w14:textId="77777777" w:rsidR="006717C5" w:rsidRPr="00F528B3" w:rsidRDefault="006717C5" w:rsidP="006F7AE7">
            <w:pPr>
              <w:spacing w:after="0" w:line="240" w:lineRule="auto"/>
              <w:rPr>
                <w:rFonts w:cstheme="minorHAnsi"/>
                <w:sz w:val="18"/>
                <w:szCs w:val="18"/>
              </w:rPr>
            </w:pPr>
            <w:r w:rsidRPr="002F1EB2">
              <w:rPr>
                <w:rFonts w:cstheme="minorHAnsi"/>
                <w:sz w:val="18"/>
                <w:szCs w:val="18"/>
              </w:rPr>
              <w:t>0</w:t>
            </w:r>
          </w:p>
        </w:tc>
      </w:tr>
    </w:tbl>
    <w:p w14:paraId="52A08447" w14:textId="77777777" w:rsidR="007D2C34" w:rsidRPr="002B50C0" w:rsidRDefault="007D2C34" w:rsidP="00141A92">
      <w:pPr>
        <w:pStyle w:val="Nagwek2"/>
        <w:numPr>
          <w:ilvl w:val="0"/>
          <w:numId w:val="19"/>
        </w:numPr>
        <w:spacing w:before="360" w:after="120"/>
        <w:ind w:left="426" w:hanging="426"/>
        <w:rPr>
          <w:rFonts w:ascii="Arial" w:hAnsi="Arial" w:cs="Arial"/>
        </w:rPr>
      </w:pPr>
      <w:r w:rsidRPr="00141A92">
        <w:rPr>
          <w:rStyle w:val="Nagwek2Znak"/>
          <w:rFonts w:ascii="Arial" w:hAnsi="Arial" w:cs="Arial"/>
          <w:b/>
          <w:color w:val="auto"/>
          <w:sz w:val="24"/>
          <w:szCs w:val="24"/>
        </w:rPr>
        <w:t xml:space="preserve">E-usługi </w:t>
      </w:r>
      <w:r w:rsidR="009967CA" w:rsidRPr="00141A92">
        <w:rPr>
          <w:rStyle w:val="Nagwek2Znak"/>
          <w:rFonts w:ascii="Arial" w:hAnsi="Arial" w:cs="Arial"/>
          <w:b/>
          <w:color w:val="auto"/>
          <w:sz w:val="24"/>
          <w:szCs w:val="24"/>
        </w:rPr>
        <w:t>A2A, A2B, A2C</w:t>
      </w:r>
      <w:r w:rsidRPr="00141A92">
        <w:rPr>
          <w:rFonts w:ascii="Arial" w:hAnsi="Arial" w:cs="Arial"/>
          <w:color w:val="auto"/>
        </w:rPr>
        <w:t xml:space="preserve"> </w:t>
      </w:r>
      <w:bookmarkStart w:id="2" w:name="_Hlk506932259"/>
      <w:r w:rsidR="00DA34DF" w:rsidRPr="00141A92">
        <w:rPr>
          <w:rFonts w:ascii="Arial" w:hAnsi="Arial" w:cs="Arial"/>
          <w:sz w:val="20"/>
          <w:szCs w:val="20"/>
        </w:rPr>
        <w:t>&lt;</w:t>
      </w:r>
      <w:r w:rsidR="00B41415" w:rsidRPr="00141A92">
        <w:rPr>
          <w:rFonts w:ascii="Arial" w:hAnsi="Arial" w:cs="Arial"/>
          <w:color w:val="767171" w:themeColor="background2" w:themeShade="80"/>
          <w:sz w:val="20"/>
          <w:szCs w:val="20"/>
        </w:rPr>
        <w:t>maksymalnie</w:t>
      </w:r>
      <w:r w:rsidR="00B41415" w:rsidRPr="002B50C0">
        <w:rPr>
          <w:rFonts w:ascii="Arial" w:hAnsi="Arial" w:cs="Arial"/>
          <w:color w:val="767171" w:themeColor="background2" w:themeShade="80"/>
          <w:sz w:val="20"/>
          <w:szCs w:val="20"/>
        </w:rPr>
        <w:t xml:space="preserve"> 20</w:t>
      </w:r>
      <w:r w:rsidR="00DA34DF" w:rsidRPr="002B50C0">
        <w:rPr>
          <w:rFonts w:ascii="Arial" w:hAnsi="Arial" w:cs="Arial"/>
          <w:color w:val="767171" w:themeColor="background2" w:themeShade="80"/>
          <w:sz w:val="20"/>
          <w:szCs w:val="20"/>
        </w:rPr>
        <w:t>00 znaków&gt;</w:t>
      </w:r>
      <w:bookmarkEnd w:id="2"/>
    </w:p>
    <w:tbl>
      <w:tblPr>
        <w:tblStyle w:val="Tabela-Siatka"/>
        <w:tblW w:w="9634" w:type="dxa"/>
        <w:tblLook w:val="04A0" w:firstRow="1" w:lastRow="0" w:firstColumn="1" w:lastColumn="0" w:noHBand="0" w:noVBand="1"/>
        <w:tblCaption w:val="E-usługi A2A, A2B, A2C "/>
      </w:tblPr>
      <w:tblGrid>
        <w:gridCol w:w="2937"/>
        <w:gridCol w:w="1169"/>
        <w:gridCol w:w="1134"/>
        <w:gridCol w:w="4394"/>
      </w:tblGrid>
      <w:tr w:rsidR="007D38BD" w:rsidRPr="002B50C0" w14:paraId="1F33CC02" w14:textId="77777777" w:rsidTr="00141A92">
        <w:trPr>
          <w:tblHeader/>
        </w:trPr>
        <w:tc>
          <w:tcPr>
            <w:tcW w:w="2937" w:type="dxa"/>
            <w:shd w:val="clear" w:color="auto" w:fill="D0CECE" w:themeFill="background2" w:themeFillShade="E6"/>
            <w:vAlign w:val="center"/>
          </w:tcPr>
          <w:p w14:paraId="72FF6AF6" w14:textId="77777777" w:rsidR="007D38BD" w:rsidRPr="00141A92" w:rsidRDefault="00517F12" w:rsidP="00586664">
            <w:pPr>
              <w:rPr>
                <w:rFonts w:ascii="Arial" w:hAnsi="Arial" w:cs="Arial"/>
                <w:b/>
                <w:sz w:val="20"/>
                <w:szCs w:val="20"/>
              </w:rPr>
            </w:pPr>
            <w:r w:rsidRPr="00141A92">
              <w:rPr>
                <w:rFonts w:ascii="Arial" w:hAnsi="Arial" w:cs="Arial"/>
                <w:b/>
                <w:sz w:val="20"/>
                <w:szCs w:val="20"/>
              </w:rPr>
              <w:t>N</w:t>
            </w:r>
            <w:r w:rsidR="007D38BD" w:rsidRPr="00141A92">
              <w:rPr>
                <w:rFonts w:ascii="Arial" w:hAnsi="Arial" w:cs="Arial"/>
                <w:b/>
                <w:sz w:val="20"/>
                <w:szCs w:val="20"/>
              </w:rPr>
              <w:t>azwa</w:t>
            </w:r>
          </w:p>
        </w:tc>
        <w:tc>
          <w:tcPr>
            <w:tcW w:w="1169" w:type="dxa"/>
            <w:shd w:val="clear" w:color="auto" w:fill="D0CECE" w:themeFill="background2" w:themeFillShade="E6"/>
            <w:vAlign w:val="center"/>
          </w:tcPr>
          <w:p w14:paraId="4BB75108" w14:textId="77777777" w:rsidR="007D38BD" w:rsidRPr="00141A92" w:rsidRDefault="00517F12" w:rsidP="00586664">
            <w:pPr>
              <w:rPr>
                <w:rFonts w:ascii="Arial" w:hAnsi="Arial" w:cs="Arial"/>
                <w:b/>
                <w:sz w:val="20"/>
                <w:szCs w:val="20"/>
              </w:rPr>
            </w:pPr>
            <w:r w:rsidRPr="00141A92">
              <w:rPr>
                <w:rFonts w:ascii="Arial" w:hAnsi="Arial" w:cs="Arial"/>
                <w:b/>
                <w:sz w:val="20"/>
                <w:szCs w:val="20"/>
              </w:rPr>
              <w:t>Planowana d</w:t>
            </w:r>
            <w:r w:rsidR="007D38BD" w:rsidRPr="00141A92">
              <w:rPr>
                <w:rFonts w:ascii="Arial" w:hAnsi="Arial" w:cs="Arial"/>
                <w:b/>
                <w:sz w:val="20"/>
                <w:szCs w:val="20"/>
              </w:rPr>
              <w:t>ata wdrożenia</w:t>
            </w:r>
          </w:p>
        </w:tc>
        <w:tc>
          <w:tcPr>
            <w:tcW w:w="1134" w:type="dxa"/>
            <w:shd w:val="clear" w:color="auto" w:fill="D0CECE" w:themeFill="background2" w:themeFillShade="E6"/>
          </w:tcPr>
          <w:p w14:paraId="52AC8EE0" w14:textId="77777777" w:rsidR="007D38BD" w:rsidRPr="00141A92" w:rsidRDefault="00517F12"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40F20197" w14:textId="77777777" w:rsidR="007D38BD" w:rsidRPr="00141A92" w:rsidRDefault="007D38BD" w:rsidP="00586664">
            <w:pPr>
              <w:rPr>
                <w:rFonts w:ascii="Arial" w:hAnsi="Arial" w:cs="Arial"/>
                <w:b/>
                <w:sz w:val="20"/>
                <w:szCs w:val="20"/>
              </w:rPr>
            </w:pPr>
            <w:r w:rsidRPr="00141A92">
              <w:rPr>
                <w:rFonts w:ascii="Arial" w:hAnsi="Arial" w:cs="Arial"/>
                <w:b/>
                <w:sz w:val="20"/>
                <w:szCs w:val="20"/>
              </w:rPr>
              <w:t>Opis zmian</w:t>
            </w:r>
          </w:p>
        </w:tc>
      </w:tr>
      <w:tr w:rsidR="006717C5" w:rsidRPr="002B50C0" w14:paraId="066D88A5" w14:textId="77777777" w:rsidTr="00517F12">
        <w:tc>
          <w:tcPr>
            <w:tcW w:w="2937" w:type="dxa"/>
          </w:tcPr>
          <w:p w14:paraId="129C5DDF" w14:textId="77777777" w:rsidR="006717C5" w:rsidRPr="00F528B3" w:rsidRDefault="006717C5" w:rsidP="006717C5">
            <w:pPr>
              <w:autoSpaceDE w:val="0"/>
              <w:autoSpaceDN w:val="0"/>
              <w:adjustRightInd w:val="0"/>
              <w:rPr>
                <w:rFonts w:cstheme="minorHAnsi"/>
                <w:sz w:val="18"/>
                <w:szCs w:val="18"/>
              </w:rPr>
            </w:pPr>
            <w:r w:rsidRPr="00F528B3">
              <w:rPr>
                <w:rFonts w:cstheme="minorHAnsi"/>
                <w:sz w:val="18"/>
                <w:szCs w:val="18"/>
                <w:lang w:eastAsia="pl-PL"/>
              </w:rPr>
              <w:t xml:space="preserve">Projekt nie udostępnia e-usług. </w:t>
            </w:r>
          </w:p>
          <w:p w14:paraId="21262D83" w14:textId="278774E6" w:rsidR="006717C5" w:rsidRPr="00141A92" w:rsidRDefault="006717C5" w:rsidP="006717C5">
            <w:pPr>
              <w:rPr>
                <w:rFonts w:ascii="Arial" w:hAnsi="Arial" w:cs="Arial"/>
                <w:color w:val="0070C0"/>
                <w:sz w:val="18"/>
                <w:szCs w:val="20"/>
              </w:rPr>
            </w:pPr>
          </w:p>
        </w:tc>
        <w:tc>
          <w:tcPr>
            <w:tcW w:w="1169" w:type="dxa"/>
          </w:tcPr>
          <w:p w14:paraId="13C9DDF9" w14:textId="77777777" w:rsidR="006717C5" w:rsidRPr="00F528B3" w:rsidRDefault="006717C5" w:rsidP="006717C5">
            <w:pPr>
              <w:rPr>
                <w:rFonts w:cstheme="minorHAnsi"/>
                <w:sz w:val="18"/>
                <w:szCs w:val="18"/>
              </w:rPr>
            </w:pPr>
            <w:r w:rsidRPr="00F528B3">
              <w:rPr>
                <w:rFonts w:cstheme="minorHAnsi"/>
                <w:sz w:val="18"/>
                <w:szCs w:val="18"/>
                <w:lang w:eastAsia="pl-PL"/>
              </w:rPr>
              <w:t>Nie dotyczy.</w:t>
            </w:r>
          </w:p>
          <w:p w14:paraId="42556882" w14:textId="77777777" w:rsidR="006717C5" w:rsidRPr="00F528B3" w:rsidRDefault="006717C5" w:rsidP="006717C5">
            <w:pPr>
              <w:ind w:left="44"/>
              <w:rPr>
                <w:rFonts w:cstheme="minorHAnsi"/>
                <w:sz w:val="18"/>
                <w:szCs w:val="18"/>
              </w:rPr>
            </w:pPr>
          </w:p>
          <w:p w14:paraId="016C9765" w14:textId="77777777" w:rsidR="006717C5" w:rsidRPr="00141A92" w:rsidRDefault="006717C5" w:rsidP="006717C5">
            <w:pPr>
              <w:rPr>
                <w:rFonts w:ascii="Arial" w:hAnsi="Arial" w:cs="Arial"/>
                <w:color w:val="0070C0"/>
                <w:sz w:val="18"/>
                <w:szCs w:val="20"/>
              </w:rPr>
            </w:pPr>
          </w:p>
        </w:tc>
        <w:tc>
          <w:tcPr>
            <w:tcW w:w="1134" w:type="dxa"/>
          </w:tcPr>
          <w:p w14:paraId="3DF8A089" w14:textId="7B239F49" w:rsidR="006717C5" w:rsidRPr="00141A92" w:rsidRDefault="006717C5" w:rsidP="006717C5">
            <w:pPr>
              <w:rPr>
                <w:rFonts w:ascii="Arial" w:hAnsi="Arial" w:cs="Arial"/>
                <w:color w:val="0070C0"/>
                <w:sz w:val="18"/>
                <w:szCs w:val="20"/>
              </w:rPr>
            </w:pPr>
            <w:r w:rsidRPr="00F528B3">
              <w:rPr>
                <w:rFonts w:cstheme="minorHAnsi"/>
                <w:sz w:val="18"/>
                <w:szCs w:val="18"/>
                <w:lang w:eastAsia="pl-PL"/>
              </w:rPr>
              <w:t>Nie dotyczy.</w:t>
            </w:r>
          </w:p>
        </w:tc>
        <w:tc>
          <w:tcPr>
            <w:tcW w:w="4394" w:type="dxa"/>
          </w:tcPr>
          <w:p w14:paraId="20A2BEE3" w14:textId="77777777" w:rsidR="006717C5" w:rsidRPr="00F528B3" w:rsidRDefault="006717C5" w:rsidP="006717C5">
            <w:pPr>
              <w:rPr>
                <w:rFonts w:cstheme="minorHAnsi"/>
                <w:sz w:val="18"/>
                <w:szCs w:val="18"/>
              </w:rPr>
            </w:pPr>
            <w:r w:rsidRPr="00F528B3">
              <w:rPr>
                <w:rFonts w:cstheme="minorHAnsi"/>
                <w:sz w:val="18"/>
                <w:szCs w:val="18"/>
              </w:rPr>
              <w:t>Nie dotyczy.</w:t>
            </w:r>
          </w:p>
          <w:p w14:paraId="7DE99E5E" w14:textId="77777777" w:rsidR="006717C5" w:rsidRPr="00141A92" w:rsidRDefault="006717C5" w:rsidP="006717C5">
            <w:pPr>
              <w:rPr>
                <w:rFonts w:ascii="Arial" w:hAnsi="Arial" w:cs="Arial"/>
                <w:color w:val="0070C0"/>
                <w:sz w:val="18"/>
                <w:szCs w:val="20"/>
              </w:rPr>
            </w:pPr>
          </w:p>
        </w:tc>
      </w:tr>
    </w:tbl>
    <w:p w14:paraId="526AAE7B" w14:textId="77777777" w:rsidR="00933BEC" w:rsidRPr="002B50C0" w:rsidRDefault="00933BEC" w:rsidP="00141A92">
      <w:pPr>
        <w:pStyle w:val="Nagwek2"/>
        <w:numPr>
          <w:ilvl w:val="0"/>
          <w:numId w:val="19"/>
        </w:numPr>
        <w:spacing w:before="360"/>
        <w:ind w:left="284" w:hanging="284"/>
        <w:rPr>
          <w:rStyle w:val="Nagwek3Znak"/>
          <w:rFonts w:ascii="Arial" w:eastAsiaTheme="minorHAnsi" w:hAnsi="Arial" w:cs="Arial"/>
          <w:b/>
          <w:color w:val="0070C0"/>
          <w:sz w:val="26"/>
          <w:szCs w:val="26"/>
        </w:rPr>
      </w:pPr>
      <w:r w:rsidRPr="00141A92">
        <w:rPr>
          <w:rStyle w:val="Nagwek3Znak"/>
          <w:rFonts w:ascii="Arial" w:eastAsiaTheme="minorHAnsi" w:hAnsi="Arial" w:cs="Arial"/>
          <w:b/>
          <w:color w:val="auto"/>
        </w:rPr>
        <w:t>Udostępnione informacje sektora publicznego i zdigitalizowane zasoby</w:t>
      </w:r>
      <w:r w:rsidR="00B41415" w:rsidRPr="00141A92">
        <w:rPr>
          <w:rStyle w:val="Nagwek3Znak"/>
          <w:rFonts w:ascii="Arial" w:eastAsiaTheme="minorHAnsi" w:hAnsi="Arial" w:cs="Arial"/>
          <w:b/>
          <w:color w:val="auto"/>
          <w:sz w:val="26"/>
          <w:szCs w:val="26"/>
        </w:rPr>
        <w:t xml:space="preserve"> </w:t>
      </w:r>
      <w:r w:rsidR="00B41415" w:rsidRPr="002B50C0">
        <w:rPr>
          <w:rFonts w:ascii="Arial" w:hAnsi="Arial" w:cs="Arial"/>
          <w:color w:val="767171" w:themeColor="background2" w:themeShade="80"/>
          <w:sz w:val="20"/>
          <w:szCs w:val="20"/>
        </w:rPr>
        <w:t>&lt;maksymalnie 2000 znaków&gt;</w:t>
      </w:r>
    </w:p>
    <w:tbl>
      <w:tblPr>
        <w:tblStyle w:val="Tabela-Siatka"/>
        <w:tblW w:w="9634" w:type="dxa"/>
        <w:tblLook w:val="04A0" w:firstRow="1" w:lastRow="0" w:firstColumn="1" w:lastColumn="0" w:noHBand="0" w:noVBand="1"/>
        <w:tblCaption w:val="Udostępnione informacje sektora publicznego i zdigitalizowane zasoby."/>
      </w:tblPr>
      <w:tblGrid>
        <w:gridCol w:w="2937"/>
        <w:gridCol w:w="1169"/>
        <w:gridCol w:w="1134"/>
        <w:gridCol w:w="4394"/>
      </w:tblGrid>
      <w:tr w:rsidR="00C6751B" w:rsidRPr="002B50C0" w14:paraId="7ED4D618" w14:textId="77777777" w:rsidTr="00141A92">
        <w:trPr>
          <w:tblHeader/>
        </w:trPr>
        <w:tc>
          <w:tcPr>
            <w:tcW w:w="2937" w:type="dxa"/>
            <w:shd w:val="clear" w:color="auto" w:fill="D0CECE" w:themeFill="background2" w:themeFillShade="E6"/>
            <w:vAlign w:val="center"/>
          </w:tcPr>
          <w:p w14:paraId="61B48C88" w14:textId="77777777" w:rsidR="00C6751B" w:rsidRPr="00141A92" w:rsidRDefault="000F307B" w:rsidP="00586664">
            <w:pPr>
              <w:rPr>
                <w:rFonts w:ascii="Arial" w:hAnsi="Arial" w:cs="Arial"/>
                <w:b/>
                <w:sz w:val="20"/>
                <w:szCs w:val="20"/>
              </w:rPr>
            </w:pPr>
            <w:r w:rsidRPr="00141A92">
              <w:rPr>
                <w:rFonts w:ascii="Arial" w:hAnsi="Arial" w:cs="Arial"/>
                <w:b/>
                <w:sz w:val="20"/>
                <w:szCs w:val="20"/>
              </w:rPr>
              <w:t>N</w:t>
            </w:r>
            <w:r w:rsidR="00C6751B" w:rsidRPr="00141A92">
              <w:rPr>
                <w:rFonts w:ascii="Arial" w:hAnsi="Arial" w:cs="Arial"/>
                <w:b/>
                <w:sz w:val="20"/>
                <w:szCs w:val="20"/>
              </w:rPr>
              <w:t>azwa</w:t>
            </w:r>
          </w:p>
        </w:tc>
        <w:tc>
          <w:tcPr>
            <w:tcW w:w="1169" w:type="dxa"/>
            <w:shd w:val="clear" w:color="auto" w:fill="D0CECE" w:themeFill="background2" w:themeFillShade="E6"/>
            <w:vAlign w:val="center"/>
          </w:tcPr>
          <w:p w14:paraId="6680342A" w14:textId="77777777" w:rsidR="00C6751B" w:rsidRPr="00141A92" w:rsidRDefault="00C6751B" w:rsidP="00586664">
            <w:pPr>
              <w:rPr>
                <w:rFonts w:ascii="Arial" w:hAnsi="Arial" w:cs="Arial"/>
                <w:b/>
                <w:sz w:val="20"/>
                <w:szCs w:val="20"/>
              </w:rPr>
            </w:pPr>
            <w:r w:rsidRPr="00141A92">
              <w:rPr>
                <w:rFonts w:ascii="Arial" w:hAnsi="Arial" w:cs="Arial"/>
                <w:b/>
                <w:sz w:val="20"/>
                <w:szCs w:val="20"/>
              </w:rPr>
              <w:t>Planowana data wdrożenia</w:t>
            </w:r>
          </w:p>
        </w:tc>
        <w:tc>
          <w:tcPr>
            <w:tcW w:w="1134" w:type="dxa"/>
            <w:shd w:val="clear" w:color="auto" w:fill="D0CECE" w:themeFill="background2" w:themeFillShade="E6"/>
          </w:tcPr>
          <w:p w14:paraId="5F5E2BA3" w14:textId="77777777" w:rsidR="00C6751B" w:rsidRPr="00141A92" w:rsidRDefault="00C6751B" w:rsidP="00586664">
            <w:pPr>
              <w:rPr>
                <w:rFonts w:ascii="Arial" w:hAnsi="Arial" w:cs="Arial"/>
                <w:b/>
                <w:sz w:val="20"/>
                <w:szCs w:val="20"/>
              </w:rPr>
            </w:pPr>
            <w:r w:rsidRPr="00141A92">
              <w:rPr>
                <w:rFonts w:ascii="Arial" w:hAnsi="Arial" w:cs="Arial"/>
                <w:b/>
                <w:sz w:val="20"/>
                <w:szCs w:val="20"/>
              </w:rPr>
              <w:t>Rzeczywista data wdrożenia</w:t>
            </w:r>
          </w:p>
        </w:tc>
        <w:tc>
          <w:tcPr>
            <w:tcW w:w="4394" w:type="dxa"/>
            <w:shd w:val="clear" w:color="auto" w:fill="D0CECE" w:themeFill="background2" w:themeFillShade="E6"/>
            <w:vAlign w:val="center"/>
          </w:tcPr>
          <w:p w14:paraId="3ABCFA23" w14:textId="77777777" w:rsidR="00C6751B" w:rsidRPr="00141A92" w:rsidRDefault="00C6751B" w:rsidP="00586664">
            <w:pPr>
              <w:rPr>
                <w:rFonts w:ascii="Arial" w:hAnsi="Arial" w:cs="Arial"/>
                <w:b/>
                <w:sz w:val="20"/>
                <w:szCs w:val="20"/>
              </w:rPr>
            </w:pPr>
            <w:r w:rsidRPr="00141A92">
              <w:rPr>
                <w:rFonts w:ascii="Arial" w:hAnsi="Arial" w:cs="Arial"/>
                <w:b/>
                <w:sz w:val="20"/>
                <w:szCs w:val="20"/>
              </w:rPr>
              <w:t>Opis zmian</w:t>
            </w:r>
          </w:p>
        </w:tc>
      </w:tr>
      <w:tr w:rsidR="006717C5" w:rsidRPr="002B50C0" w14:paraId="153EA8F3" w14:textId="77777777" w:rsidTr="00C6751B">
        <w:tc>
          <w:tcPr>
            <w:tcW w:w="2937" w:type="dxa"/>
          </w:tcPr>
          <w:p w14:paraId="46265E90" w14:textId="4A0BCE96" w:rsidR="006717C5" w:rsidRPr="00141A92" w:rsidRDefault="006717C5" w:rsidP="006717C5">
            <w:pPr>
              <w:rPr>
                <w:rFonts w:ascii="Arial" w:hAnsi="Arial" w:cs="Arial"/>
                <w:color w:val="0070C0"/>
                <w:sz w:val="18"/>
                <w:szCs w:val="20"/>
              </w:rPr>
            </w:pPr>
            <w:r w:rsidRPr="00F528B3">
              <w:rPr>
                <w:rFonts w:cstheme="minorHAnsi"/>
                <w:sz w:val="18"/>
                <w:szCs w:val="18"/>
                <w:lang w:eastAsia="pl-PL"/>
              </w:rPr>
              <w:t xml:space="preserve">Projekt zapewnia udostępnienie zasobów ISP ze źródeł nauki – Instytutu Biologii Ssaków PAN oraz Zamiejscowego Wydziału Leśnego w Hajnówce Politechniki Białostockiej. </w:t>
            </w:r>
          </w:p>
        </w:tc>
        <w:tc>
          <w:tcPr>
            <w:tcW w:w="1169" w:type="dxa"/>
          </w:tcPr>
          <w:p w14:paraId="42013725" w14:textId="77777777" w:rsidR="006717C5" w:rsidRPr="00F528B3" w:rsidRDefault="006717C5" w:rsidP="006717C5">
            <w:pPr>
              <w:ind w:left="44"/>
              <w:rPr>
                <w:rFonts w:cstheme="minorHAnsi"/>
                <w:sz w:val="18"/>
                <w:szCs w:val="18"/>
              </w:rPr>
            </w:pPr>
            <w:r w:rsidRPr="00F528B3">
              <w:rPr>
                <w:rFonts w:cstheme="minorHAnsi"/>
                <w:sz w:val="18"/>
                <w:szCs w:val="18"/>
                <w:lang w:eastAsia="pl-PL"/>
              </w:rPr>
              <w:t>01-2022</w:t>
            </w:r>
          </w:p>
          <w:p w14:paraId="6D7C5935" w14:textId="77777777" w:rsidR="006717C5" w:rsidRPr="00141A92" w:rsidRDefault="006717C5" w:rsidP="006717C5">
            <w:pPr>
              <w:rPr>
                <w:rFonts w:ascii="Arial" w:hAnsi="Arial" w:cs="Arial"/>
                <w:color w:val="0070C0"/>
                <w:sz w:val="18"/>
                <w:szCs w:val="20"/>
              </w:rPr>
            </w:pPr>
          </w:p>
        </w:tc>
        <w:tc>
          <w:tcPr>
            <w:tcW w:w="1134" w:type="dxa"/>
          </w:tcPr>
          <w:p w14:paraId="56773D50" w14:textId="43AD5A70" w:rsidR="006717C5" w:rsidRPr="00141A92" w:rsidRDefault="006717C5" w:rsidP="006717C5">
            <w:pPr>
              <w:rPr>
                <w:rFonts w:ascii="Arial" w:hAnsi="Arial" w:cs="Arial"/>
                <w:color w:val="0070C0"/>
                <w:sz w:val="18"/>
                <w:szCs w:val="20"/>
              </w:rPr>
            </w:pPr>
          </w:p>
        </w:tc>
        <w:tc>
          <w:tcPr>
            <w:tcW w:w="4394" w:type="dxa"/>
          </w:tcPr>
          <w:p w14:paraId="37781807" w14:textId="1D4E09F0" w:rsidR="006717C5" w:rsidRPr="00141A92" w:rsidRDefault="006717C5" w:rsidP="006717C5">
            <w:pPr>
              <w:rPr>
                <w:rFonts w:ascii="Arial" w:hAnsi="Arial" w:cs="Arial"/>
                <w:color w:val="0070C0"/>
                <w:sz w:val="18"/>
                <w:szCs w:val="20"/>
              </w:rPr>
            </w:pPr>
            <w:r w:rsidRPr="00F528B3">
              <w:rPr>
                <w:rFonts w:cstheme="minorHAnsi"/>
                <w:sz w:val="18"/>
                <w:szCs w:val="18"/>
              </w:rPr>
              <w:t>Nie dokonywano zmian.</w:t>
            </w:r>
          </w:p>
        </w:tc>
      </w:tr>
    </w:tbl>
    <w:p w14:paraId="2598878D" w14:textId="6FA45D1A" w:rsidR="004C1D48" w:rsidRDefault="004C1D48" w:rsidP="00141A92">
      <w:pPr>
        <w:pStyle w:val="Nagwek3"/>
        <w:numPr>
          <w:ilvl w:val="0"/>
          <w:numId w:val="19"/>
        </w:numPr>
        <w:spacing w:before="360"/>
        <w:ind w:left="426" w:hanging="426"/>
        <w:rPr>
          <w:rFonts w:ascii="Arial" w:hAnsi="Arial" w:cs="Arial"/>
          <w:sz w:val="20"/>
          <w:szCs w:val="18"/>
        </w:rPr>
      </w:pPr>
      <w:r w:rsidRPr="00141A92">
        <w:rPr>
          <w:rStyle w:val="Nagwek2Znak"/>
          <w:rFonts w:ascii="Arial" w:hAnsi="Arial" w:cs="Arial"/>
          <w:b/>
          <w:color w:val="auto"/>
          <w:sz w:val="24"/>
          <w:szCs w:val="24"/>
        </w:rPr>
        <w:t>Produkty końcowe projektu</w:t>
      </w:r>
      <w:r w:rsidRPr="00141A92">
        <w:rPr>
          <w:rStyle w:val="Nagwek2Znak"/>
          <w:rFonts w:ascii="Arial" w:hAnsi="Arial" w:cs="Arial"/>
          <w:color w:val="auto"/>
          <w:sz w:val="24"/>
          <w:szCs w:val="24"/>
        </w:rPr>
        <w:t xml:space="preserve"> (inne niż wskazane w pkt </w:t>
      </w:r>
      <w:r w:rsidR="00B64B3C" w:rsidRPr="00141A92">
        <w:rPr>
          <w:rStyle w:val="Nagwek2Znak"/>
          <w:rFonts w:ascii="Arial" w:hAnsi="Arial" w:cs="Arial"/>
          <w:color w:val="auto"/>
          <w:sz w:val="24"/>
          <w:szCs w:val="24"/>
        </w:rPr>
        <w:t>4</w:t>
      </w:r>
      <w:r w:rsidRPr="00141A92">
        <w:rPr>
          <w:rStyle w:val="Nagwek2Znak"/>
          <w:rFonts w:ascii="Arial" w:hAnsi="Arial" w:cs="Arial"/>
          <w:color w:val="auto"/>
          <w:sz w:val="24"/>
          <w:szCs w:val="24"/>
        </w:rPr>
        <w:t xml:space="preserve"> </w:t>
      </w:r>
      <w:r w:rsidR="009256F2" w:rsidRPr="00141A92">
        <w:rPr>
          <w:rStyle w:val="Nagwek2Znak"/>
          <w:rFonts w:ascii="Arial" w:hAnsi="Arial" w:cs="Arial"/>
          <w:color w:val="auto"/>
          <w:sz w:val="24"/>
          <w:szCs w:val="24"/>
        </w:rPr>
        <w:t xml:space="preserve">i </w:t>
      </w:r>
      <w:r w:rsidR="00B64B3C" w:rsidRPr="00141A92">
        <w:rPr>
          <w:rStyle w:val="Nagwek2Znak"/>
          <w:rFonts w:ascii="Arial" w:hAnsi="Arial" w:cs="Arial"/>
          <w:color w:val="auto"/>
          <w:sz w:val="24"/>
          <w:szCs w:val="24"/>
        </w:rPr>
        <w:t>5</w:t>
      </w:r>
      <w:r w:rsidR="00E1688D" w:rsidRPr="00141A92">
        <w:rPr>
          <w:rStyle w:val="Nagwek2Znak"/>
          <w:rFonts w:ascii="Arial" w:hAnsi="Arial" w:cs="Arial"/>
          <w:color w:val="auto"/>
          <w:sz w:val="24"/>
          <w:szCs w:val="24"/>
        </w:rPr>
        <w:t>)</w:t>
      </w:r>
      <w:r w:rsidRPr="00141A92">
        <w:rPr>
          <w:rFonts w:ascii="Arial" w:hAnsi="Arial" w:cs="Arial"/>
          <w:color w:val="auto"/>
        </w:rPr>
        <w:t xml:space="preserve"> </w:t>
      </w:r>
      <w:r w:rsidR="00B41415" w:rsidRPr="002D7ADA">
        <w:rPr>
          <w:rFonts w:ascii="Arial" w:hAnsi="Arial" w:cs="Arial"/>
          <w:color w:val="767171" w:themeColor="background2" w:themeShade="80"/>
          <w:sz w:val="20"/>
          <w:szCs w:val="18"/>
        </w:rPr>
        <w:t>&lt;maksymalnie 20</w:t>
      </w:r>
      <w:r w:rsidRPr="002D7ADA">
        <w:rPr>
          <w:rFonts w:ascii="Arial" w:hAnsi="Arial" w:cs="Arial"/>
          <w:color w:val="767171" w:themeColor="background2" w:themeShade="80"/>
          <w:sz w:val="20"/>
          <w:szCs w:val="18"/>
        </w:rPr>
        <w:t>00 znaków&gt;</w:t>
      </w:r>
      <w:r w:rsidRPr="002D7ADA">
        <w:rPr>
          <w:rFonts w:ascii="Arial" w:hAnsi="Arial" w:cs="Arial"/>
          <w:sz w:val="20"/>
          <w:szCs w:val="18"/>
        </w:rPr>
        <w:t xml:space="preserve"> </w:t>
      </w:r>
    </w:p>
    <w:tbl>
      <w:tblPr>
        <w:tblW w:w="963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47"/>
        <w:gridCol w:w="1701"/>
        <w:gridCol w:w="1843"/>
        <w:gridCol w:w="3543"/>
      </w:tblGrid>
      <w:tr w:rsidR="006717C5" w:rsidRPr="00F528B3" w14:paraId="44F52CA8" w14:textId="77777777" w:rsidTr="006F7AE7">
        <w:trPr>
          <w:tblHeader/>
        </w:trPr>
        <w:tc>
          <w:tcPr>
            <w:tcW w:w="2547" w:type="dxa"/>
            <w:shd w:val="clear" w:color="auto" w:fill="D0CECE"/>
          </w:tcPr>
          <w:p w14:paraId="3C823DFF"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Nazwa produktu</w:t>
            </w:r>
          </w:p>
        </w:tc>
        <w:tc>
          <w:tcPr>
            <w:tcW w:w="1701" w:type="dxa"/>
            <w:shd w:val="clear" w:color="auto" w:fill="D0CECE"/>
          </w:tcPr>
          <w:p w14:paraId="6B913820"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Planowana data wdrożenia</w:t>
            </w:r>
          </w:p>
        </w:tc>
        <w:tc>
          <w:tcPr>
            <w:tcW w:w="1843" w:type="dxa"/>
            <w:shd w:val="clear" w:color="auto" w:fill="D0CECE"/>
          </w:tcPr>
          <w:p w14:paraId="3D231152"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Rzeczywista data wdrożenia</w:t>
            </w:r>
          </w:p>
        </w:tc>
        <w:tc>
          <w:tcPr>
            <w:tcW w:w="3543" w:type="dxa"/>
            <w:shd w:val="clear" w:color="auto" w:fill="D0CECE"/>
          </w:tcPr>
          <w:p w14:paraId="055C4DA3" w14:textId="77777777" w:rsidR="006717C5" w:rsidRPr="00F528B3" w:rsidRDefault="006717C5" w:rsidP="006F7AE7">
            <w:pPr>
              <w:spacing w:after="0" w:line="240" w:lineRule="auto"/>
              <w:rPr>
                <w:rFonts w:cstheme="minorHAnsi"/>
                <w:b/>
                <w:bCs/>
                <w:sz w:val="20"/>
                <w:szCs w:val="20"/>
              </w:rPr>
            </w:pPr>
            <w:r w:rsidRPr="00F528B3">
              <w:rPr>
                <w:rFonts w:cstheme="minorHAnsi"/>
                <w:b/>
                <w:bCs/>
                <w:sz w:val="20"/>
                <w:szCs w:val="20"/>
              </w:rPr>
              <w:t xml:space="preserve">Komplementarność względem produktów innych projektów </w:t>
            </w:r>
          </w:p>
          <w:p w14:paraId="411B0755" w14:textId="77777777" w:rsidR="006717C5" w:rsidRPr="00F528B3" w:rsidRDefault="006717C5" w:rsidP="006F7AE7">
            <w:pPr>
              <w:spacing w:after="0" w:line="240" w:lineRule="auto"/>
              <w:rPr>
                <w:rFonts w:cstheme="minorHAnsi"/>
                <w:b/>
                <w:bCs/>
                <w:sz w:val="20"/>
                <w:szCs w:val="20"/>
              </w:rPr>
            </w:pPr>
          </w:p>
        </w:tc>
      </w:tr>
      <w:tr w:rsidR="006717C5" w:rsidRPr="00F528B3" w14:paraId="699949A2" w14:textId="77777777" w:rsidTr="006F7AE7">
        <w:tc>
          <w:tcPr>
            <w:tcW w:w="2547" w:type="dxa"/>
          </w:tcPr>
          <w:p w14:paraId="0CBF0EA3"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Platforma internetowa z narzędziami programistycznymi do analizowania danych.</w:t>
            </w:r>
          </w:p>
        </w:tc>
        <w:tc>
          <w:tcPr>
            <w:tcW w:w="1701" w:type="dxa"/>
          </w:tcPr>
          <w:p w14:paraId="18A14262" w14:textId="77777777" w:rsidR="006717C5" w:rsidRPr="00F528B3" w:rsidRDefault="006717C5" w:rsidP="006F7AE7">
            <w:pPr>
              <w:spacing w:after="0" w:line="240" w:lineRule="auto"/>
              <w:rPr>
                <w:rFonts w:cstheme="minorHAnsi"/>
                <w:sz w:val="18"/>
                <w:szCs w:val="18"/>
              </w:rPr>
            </w:pPr>
            <w:r w:rsidRPr="00F528B3">
              <w:rPr>
                <w:rFonts w:cstheme="minorHAnsi"/>
                <w:sz w:val="18"/>
                <w:szCs w:val="18"/>
                <w:lang w:eastAsia="pl-PL"/>
              </w:rPr>
              <w:t>09-2020</w:t>
            </w:r>
          </w:p>
          <w:p w14:paraId="7D7C61CB" w14:textId="77777777" w:rsidR="006717C5" w:rsidRPr="00F528B3" w:rsidRDefault="006717C5" w:rsidP="006F7AE7">
            <w:pPr>
              <w:spacing w:after="0" w:line="240" w:lineRule="auto"/>
              <w:rPr>
                <w:rFonts w:cstheme="minorHAnsi"/>
                <w:sz w:val="18"/>
                <w:szCs w:val="18"/>
              </w:rPr>
            </w:pPr>
          </w:p>
        </w:tc>
        <w:tc>
          <w:tcPr>
            <w:tcW w:w="1843" w:type="dxa"/>
          </w:tcPr>
          <w:p w14:paraId="27C0B1CB" w14:textId="77777777" w:rsidR="006717C5" w:rsidRPr="00F528B3" w:rsidRDefault="006717C5" w:rsidP="006F7AE7">
            <w:pPr>
              <w:spacing w:after="0" w:line="240" w:lineRule="auto"/>
              <w:rPr>
                <w:rFonts w:cstheme="minorHAnsi"/>
                <w:sz w:val="18"/>
                <w:szCs w:val="18"/>
              </w:rPr>
            </w:pPr>
          </w:p>
        </w:tc>
        <w:tc>
          <w:tcPr>
            <w:tcW w:w="3543" w:type="dxa"/>
          </w:tcPr>
          <w:p w14:paraId="267174C4"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Platforma będzie zbudowana w sposób umożliwiający integrację z platformą Kronik@, realizująca wytyczne interoperacyjności, indeksowana przez multiwyszukiwarki repozytoriów danych naukowych.</w:t>
            </w:r>
          </w:p>
        </w:tc>
      </w:tr>
      <w:tr w:rsidR="006717C5" w:rsidRPr="00F528B3" w14:paraId="09AF7B6C" w14:textId="77777777" w:rsidTr="006F7AE7">
        <w:tc>
          <w:tcPr>
            <w:tcW w:w="2547" w:type="dxa"/>
          </w:tcPr>
          <w:p w14:paraId="38AAC22A"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Materiały szkoleniowe.</w:t>
            </w:r>
          </w:p>
        </w:tc>
        <w:tc>
          <w:tcPr>
            <w:tcW w:w="1701" w:type="dxa"/>
          </w:tcPr>
          <w:p w14:paraId="09E797D5"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12-2020</w:t>
            </w:r>
          </w:p>
        </w:tc>
        <w:tc>
          <w:tcPr>
            <w:tcW w:w="1843" w:type="dxa"/>
          </w:tcPr>
          <w:p w14:paraId="14B8804D" w14:textId="77777777" w:rsidR="006717C5" w:rsidRPr="00F528B3" w:rsidRDefault="006717C5" w:rsidP="006F7AE7">
            <w:pPr>
              <w:spacing w:after="0" w:line="240" w:lineRule="auto"/>
              <w:rPr>
                <w:rFonts w:cstheme="minorHAnsi"/>
                <w:sz w:val="18"/>
                <w:szCs w:val="18"/>
              </w:rPr>
            </w:pPr>
          </w:p>
        </w:tc>
        <w:tc>
          <w:tcPr>
            <w:tcW w:w="3543" w:type="dxa"/>
          </w:tcPr>
          <w:p w14:paraId="051ECD1D"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r w:rsidR="006717C5" w:rsidRPr="00F528B3" w14:paraId="3270D8C2" w14:textId="77777777" w:rsidTr="006F7AE7">
        <w:tc>
          <w:tcPr>
            <w:tcW w:w="2547" w:type="dxa"/>
          </w:tcPr>
          <w:p w14:paraId="2C1EA651"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Filmy promocyjne</w:t>
            </w:r>
          </w:p>
        </w:tc>
        <w:tc>
          <w:tcPr>
            <w:tcW w:w="1701" w:type="dxa"/>
          </w:tcPr>
          <w:p w14:paraId="2EDF413A"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45D612B4" w14:textId="77777777" w:rsidR="006717C5" w:rsidRPr="00F528B3" w:rsidRDefault="006717C5" w:rsidP="006F7AE7">
            <w:pPr>
              <w:spacing w:after="0" w:line="240" w:lineRule="auto"/>
              <w:rPr>
                <w:rFonts w:cstheme="minorHAnsi"/>
                <w:sz w:val="18"/>
                <w:szCs w:val="18"/>
              </w:rPr>
            </w:pPr>
          </w:p>
        </w:tc>
        <w:tc>
          <w:tcPr>
            <w:tcW w:w="3543" w:type="dxa"/>
          </w:tcPr>
          <w:p w14:paraId="40986BEA"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r w:rsidR="006717C5" w:rsidRPr="00F528B3" w14:paraId="75FE3147" w14:textId="77777777" w:rsidTr="006F7AE7">
        <w:tc>
          <w:tcPr>
            <w:tcW w:w="2547" w:type="dxa"/>
          </w:tcPr>
          <w:p w14:paraId="2E3861C5"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Materiały promocyjne</w:t>
            </w:r>
          </w:p>
        </w:tc>
        <w:tc>
          <w:tcPr>
            <w:tcW w:w="1701" w:type="dxa"/>
          </w:tcPr>
          <w:p w14:paraId="440B8D7F" w14:textId="77777777" w:rsidR="006717C5" w:rsidRPr="00F528B3" w:rsidRDefault="006717C5" w:rsidP="006F7AE7">
            <w:pPr>
              <w:spacing w:after="0" w:line="240" w:lineRule="auto"/>
              <w:rPr>
                <w:rFonts w:cstheme="minorHAnsi"/>
                <w:sz w:val="18"/>
                <w:szCs w:val="18"/>
                <w:lang w:eastAsia="pl-PL"/>
              </w:rPr>
            </w:pPr>
            <w:r w:rsidRPr="00F528B3">
              <w:rPr>
                <w:rFonts w:cstheme="minorHAnsi"/>
                <w:sz w:val="18"/>
                <w:szCs w:val="18"/>
                <w:lang w:eastAsia="pl-PL"/>
              </w:rPr>
              <w:t>12-2021</w:t>
            </w:r>
          </w:p>
        </w:tc>
        <w:tc>
          <w:tcPr>
            <w:tcW w:w="1843" w:type="dxa"/>
          </w:tcPr>
          <w:p w14:paraId="0A400D31" w14:textId="77777777" w:rsidR="006717C5" w:rsidRPr="00F528B3" w:rsidRDefault="006717C5" w:rsidP="006F7AE7">
            <w:pPr>
              <w:spacing w:after="0" w:line="240" w:lineRule="auto"/>
              <w:rPr>
                <w:rFonts w:cstheme="minorHAnsi"/>
                <w:sz w:val="18"/>
                <w:szCs w:val="18"/>
              </w:rPr>
            </w:pPr>
          </w:p>
        </w:tc>
        <w:tc>
          <w:tcPr>
            <w:tcW w:w="3543" w:type="dxa"/>
          </w:tcPr>
          <w:p w14:paraId="5646D249" w14:textId="77777777" w:rsidR="006717C5" w:rsidRPr="00F528B3" w:rsidRDefault="006717C5" w:rsidP="006F7AE7">
            <w:pPr>
              <w:spacing w:after="0" w:line="240" w:lineRule="auto"/>
              <w:rPr>
                <w:rFonts w:cstheme="minorHAnsi"/>
                <w:sz w:val="18"/>
                <w:szCs w:val="18"/>
              </w:rPr>
            </w:pPr>
            <w:r w:rsidRPr="00F528B3">
              <w:rPr>
                <w:rFonts w:cstheme="minorHAnsi"/>
                <w:sz w:val="18"/>
                <w:szCs w:val="18"/>
              </w:rPr>
              <w:t>Nie dotyczy.</w:t>
            </w:r>
          </w:p>
        </w:tc>
      </w:tr>
    </w:tbl>
    <w:p w14:paraId="2AC8CEEF" w14:textId="563F1A0D" w:rsidR="00BB059E" w:rsidRPr="006717C5" w:rsidRDefault="00BB059E" w:rsidP="00141A92">
      <w:pPr>
        <w:pStyle w:val="Akapitzlist"/>
        <w:numPr>
          <w:ilvl w:val="0"/>
          <w:numId w:val="19"/>
        </w:numPr>
        <w:spacing w:before="360" w:after="120"/>
        <w:ind w:left="426" w:hanging="426"/>
        <w:rPr>
          <w:rFonts w:ascii="Arial" w:hAnsi="Arial" w:cs="Arial"/>
          <w:sz w:val="20"/>
          <w:szCs w:val="20"/>
        </w:rPr>
      </w:pPr>
      <w:r w:rsidRPr="00141A92">
        <w:rPr>
          <w:rStyle w:val="Nagwek2Znak"/>
          <w:rFonts w:ascii="Arial" w:hAnsi="Arial" w:cs="Arial"/>
          <w:b/>
          <w:color w:val="auto"/>
          <w:sz w:val="24"/>
          <w:szCs w:val="24"/>
        </w:rPr>
        <w:lastRenderedPageBreak/>
        <w:t>R</w:t>
      </w:r>
      <w:r w:rsidR="00304D04" w:rsidRPr="00141A92">
        <w:rPr>
          <w:rStyle w:val="Nagwek2Znak"/>
          <w:rFonts w:ascii="Arial" w:hAnsi="Arial" w:cs="Arial"/>
          <w:b/>
          <w:color w:val="auto"/>
          <w:sz w:val="24"/>
          <w:szCs w:val="24"/>
        </w:rPr>
        <w:t>yzyka</w:t>
      </w:r>
      <w:r w:rsidR="00B41415" w:rsidRPr="00141A92">
        <w:rPr>
          <w:rStyle w:val="Nagwek3Znak"/>
          <w:rFonts w:ascii="Arial" w:hAnsi="Arial" w:cs="Arial"/>
          <w:b/>
          <w:color w:val="auto"/>
        </w:rPr>
        <w:t xml:space="preserve"> </w:t>
      </w:r>
      <w:r w:rsidR="00DA34DF" w:rsidRPr="002B50C0">
        <w:rPr>
          <w:rFonts w:ascii="Arial" w:hAnsi="Arial" w:cs="Arial"/>
          <w:color w:val="0070C0"/>
        </w:rPr>
        <w:t xml:space="preserve"> </w:t>
      </w:r>
      <w:r w:rsidR="00B41415" w:rsidRPr="002B50C0">
        <w:rPr>
          <w:rFonts w:ascii="Arial" w:hAnsi="Arial" w:cs="Arial"/>
          <w:color w:val="0070C0"/>
        </w:rPr>
        <w:t xml:space="preserve"> </w:t>
      </w:r>
      <w:r w:rsidR="00DA34DF" w:rsidRPr="002B50C0">
        <w:rPr>
          <w:rFonts w:ascii="Arial" w:hAnsi="Arial" w:cs="Arial"/>
          <w:color w:val="767171" w:themeColor="background2" w:themeShade="80"/>
          <w:sz w:val="20"/>
          <w:szCs w:val="20"/>
        </w:rPr>
        <w:t>&lt;</w:t>
      </w:r>
      <w:r w:rsidR="00B41415" w:rsidRPr="002B50C0">
        <w:rPr>
          <w:rFonts w:ascii="Arial" w:hAnsi="Arial" w:cs="Arial"/>
          <w:color w:val="767171" w:themeColor="background2" w:themeShade="80"/>
          <w:sz w:val="20"/>
          <w:szCs w:val="20"/>
        </w:rPr>
        <w:t>maksymalnie 20</w:t>
      </w:r>
      <w:r w:rsidR="00DA34DF" w:rsidRPr="002B50C0">
        <w:rPr>
          <w:rFonts w:ascii="Arial" w:hAnsi="Arial" w:cs="Arial"/>
          <w:color w:val="767171" w:themeColor="background2" w:themeShade="80"/>
          <w:sz w:val="20"/>
          <w:szCs w:val="20"/>
        </w:rPr>
        <w:t>00 znaków&gt;</w:t>
      </w:r>
    </w:p>
    <w:p w14:paraId="397B5207" w14:textId="77777777" w:rsidR="006717C5" w:rsidRPr="00D46DE2" w:rsidRDefault="006717C5" w:rsidP="00D46DE2">
      <w:pPr>
        <w:spacing w:after="120"/>
        <w:rPr>
          <w:rFonts w:cstheme="minorHAnsi"/>
          <w:sz w:val="20"/>
          <w:szCs w:val="20"/>
        </w:rPr>
      </w:pPr>
      <w:r w:rsidRPr="00D46DE2">
        <w:rPr>
          <w:rFonts w:cstheme="minorHAnsi"/>
          <w:b/>
          <w:bCs/>
          <w:sz w:val="20"/>
          <w:szCs w:val="20"/>
        </w:rPr>
        <w:t>Ryzyka wpływające na realizację projektu</w:t>
      </w:r>
    </w:p>
    <w:tbl>
      <w:tblPr>
        <w:tblW w:w="949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5"/>
        <w:gridCol w:w="988"/>
        <w:gridCol w:w="1134"/>
        <w:gridCol w:w="4111"/>
      </w:tblGrid>
      <w:tr w:rsidR="006717C5" w:rsidRPr="00F528B3" w14:paraId="05A29414" w14:textId="77777777" w:rsidTr="006F7AE7">
        <w:trPr>
          <w:tblHeader/>
        </w:trPr>
        <w:tc>
          <w:tcPr>
            <w:tcW w:w="3265" w:type="dxa"/>
            <w:shd w:val="clear" w:color="auto" w:fill="D0CECE"/>
            <w:vAlign w:val="center"/>
          </w:tcPr>
          <w:p w14:paraId="4B06B075"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Nazwa ryzyka</w:t>
            </w:r>
          </w:p>
        </w:tc>
        <w:tc>
          <w:tcPr>
            <w:tcW w:w="988" w:type="dxa"/>
            <w:shd w:val="clear" w:color="auto" w:fill="D0CECE"/>
            <w:vAlign w:val="center"/>
          </w:tcPr>
          <w:p w14:paraId="5AAC5125"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 xml:space="preserve">Siła oddziaływania </w:t>
            </w:r>
          </w:p>
        </w:tc>
        <w:tc>
          <w:tcPr>
            <w:tcW w:w="1134" w:type="dxa"/>
            <w:shd w:val="clear" w:color="auto" w:fill="D0CECE"/>
          </w:tcPr>
          <w:p w14:paraId="1FB1CDB6"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Prawdopodobieństwo wystąpienia ryzyka</w:t>
            </w:r>
          </w:p>
        </w:tc>
        <w:tc>
          <w:tcPr>
            <w:tcW w:w="4111" w:type="dxa"/>
            <w:shd w:val="clear" w:color="auto" w:fill="D0CECE"/>
            <w:vAlign w:val="center"/>
          </w:tcPr>
          <w:p w14:paraId="032D8DB9" w14:textId="77777777" w:rsidR="006717C5" w:rsidRPr="00F528B3" w:rsidRDefault="006717C5" w:rsidP="006F7AE7">
            <w:pPr>
              <w:spacing w:after="120" w:line="240" w:lineRule="auto"/>
              <w:rPr>
                <w:rFonts w:cstheme="minorHAnsi"/>
                <w:b/>
                <w:bCs/>
                <w:sz w:val="20"/>
                <w:szCs w:val="20"/>
              </w:rPr>
            </w:pPr>
            <w:r w:rsidRPr="00F528B3">
              <w:rPr>
                <w:rFonts w:cstheme="minorHAnsi"/>
                <w:b/>
                <w:bCs/>
                <w:sz w:val="20"/>
                <w:szCs w:val="20"/>
              </w:rPr>
              <w:t>Sposób zarzadzania ryzykiem</w:t>
            </w:r>
          </w:p>
        </w:tc>
      </w:tr>
      <w:tr w:rsidR="00DB1DFE" w:rsidRPr="00960A7E" w14:paraId="176EAD85" w14:textId="77777777" w:rsidTr="006F7AE7">
        <w:tc>
          <w:tcPr>
            <w:tcW w:w="3265" w:type="dxa"/>
          </w:tcPr>
          <w:p w14:paraId="49177AA4"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 xml:space="preserve">Nieuwzględnienie w analizie istotnych wymagań funkcjonalnych lub  trudności ich realizacji  </w:t>
            </w:r>
          </w:p>
        </w:tc>
        <w:tc>
          <w:tcPr>
            <w:tcW w:w="988" w:type="dxa"/>
          </w:tcPr>
          <w:p w14:paraId="24C8B8F7"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Średnia</w:t>
            </w:r>
          </w:p>
        </w:tc>
        <w:tc>
          <w:tcPr>
            <w:tcW w:w="1134" w:type="dxa"/>
          </w:tcPr>
          <w:p w14:paraId="436CACA7"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3B28631A" w14:textId="18661B4E" w:rsidR="006717C5" w:rsidRPr="00960A7E" w:rsidRDefault="006717C5" w:rsidP="006F7AE7">
            <w:pPr>
              <w:pStyle w:val="Tekstkomentarza"/>
              <w:rPr>
                <w:rFonts w:cstheme="minorHAnsi"/>
                <w:sz w:val="18"/>
                <w:szCs w:val="18"/>
                <w:lang w:eastAsia="pl-PL"/>
              </w:rPr>
            </w:pPr>
            <w:r w:rsidRPr="00960A7E">
              <w:rPr>
                <w:rFonts w:cstheme="minorHAnsi"/>
                <w:sz w:val="18"/>
                <w:szCs w:val="18"/>
              </w:rPr>
              <w:t>Zarządzanie tym ryzykiem opiera się na działaniach unikających. W ramach przygotowań do realizacji projektu przeprowadzono rzetelne analizy, co ma za zadanie zabezpieczyć wystąpienie tego ryzyka. W sytuacji wystąpienia ryzyka istnieje plan minimum, realizujący podstawowe funkcjonalności. Od poprzedniego okresu sprawozdawczego</w:t>
            </w:r>
            <w:r w:rsidRPr="00960A7E">
              <w:rPr>
                <w:rFonts w:cstheme="minorHAnsi"/>
                <w:sz w:val="18"/>
                <w:szCs w:val="18"/>
                <w:lang w:eastAsia="pl-PL"/>
              </w:rPr>
              <w:t xml:space="preserve"> nie nastąpiła zmiana</w:t>
            </w:r>
            <w:r w:rsidR="00960A7E" w:rsidRPr="00960A7E">
              <w:rPr>
                <w:rFonts w:cstheme="minorHAnsi"/>
                <w:sz w:val="18"/>
                <w:szCs w:val="18"/>
                <w:lang w:eastAsia="pl-PL"/>
              </w:rPr>
              <w:t>.</w:t>
            </w:r>
          </w:p>
        </w:tc>
      </w:tr>
      <w:tr w:rsidR="00DB1DFE" w:rsidRPr="00960A7E" w14:paraId="349C9E7B" w14:textId="77777777" w:rsidTr="006F7AE7">
        <w:tc>
          <w:tcPr>
            <w:tcW w:w="3265" w:type="dxa"/>
          </w:tcPr>
          <w:p w14:paraId="0C038F53" w14:textId="77777777" w:rsidR="006717C5" w:rsidRPr="00960A7E" w:rsidRDefault="006717C5" w:rsidP="006F7AE7">
            <w:pPr>
              <w:spacing w:after="0" w:line="240" w:lineRule="auto"/>
              <w:rPr>
                <w:rFonts w:cstheme="minorHAnsi"/>
                <w:b/>
                <w:bCs/>
                <w:sz w:val="18"/>
                <w:szCs w:val="18"/>
              </w:rPr>
            </w:pPr>
            <w:r w:rsidRPr="00960A7E">
              <w:rPr>
                <w:rFonts w:cstheme="minorHAnsi"/>
                <w:sz w:val="18"/>
                <w:szCs w:val="18"/>
              </w:rPr>
              <w:t>Poważna zmiana w dostępnych technologiach.</w:t>
            </w:r>
          </w:p>
        </w:tc>
        <w:tc>
          <w:tcPr>
            <w:tcW w:w="988" w:type="dxa"/>
          </w:tcPr>
          <w:p w14:paraId="7F9E2BFB"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Średnia</w:t>
            </w:r>
          </w:p>
        </w:tc>
        <w:tc>
          <w:tcPr>
            <w:tcW w:w="1134" w:type="dxa"/>
          </w:tcPr>
          <w:p w14:paraId="720A2B4D"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0B2C1134" w14:textId="425555E8" w:rsidR="00C31361" w:rsidRPr="00960A7E" w:rsidRDefault="006717C5" w:rsidP="006F7AE7">
            <w:pPr>
              <w:pStyle w:val="Tekstkomentarza"/>
              <w:rPr>
                <w:rFonts w:cstheme="minorHAnsi"/>
                <w:sz w:val="18"/>
                <w:szCs w:val="18"/>
              </w:rPr>
            </w:pPr>
            <w:r w:rsidRPr="00960A7E">
              <w:rPr>
                <w:rFonts w:cstheme="minorHAnsi"/>
                <w:sz w:val="18"/>
                <w:szCs w:val="18"/>
              </w:rPr>
              <w:t>Zarządzanie tym ryzykiem opiera się na prowadzeniu działań unikających. W ramach przygotowań do realizacji projektu przeprowadzono dokładną analizę dostępnego oprogramowania oraz pozostałych rozwiązań. Ryzyko wystąpiło. Po rozpoczęciu realizacji projektu, na etapie prac przygotowawczych do przeprowadzeniu procedury zakupu usług programistycznych oraz po uruchomieniu testowej wersji systemu przez jednostkę Partnera – CKSR PB, ustalono, że w chwili obecnej wybrane oprogramowanie CKAN przestało spełniać wykazane w studium wykonalności parametry. W związku z tym przeprowadzono ponowne rozpoznanie sytuacji w zakresie istniejących rozwiązań i wystąpiono z wnioskiem do CPPC o możliwość realizacji projektu w oparciu o równorzędne oprogramowanie, spełniające niezbędne warunki, zapewniające spełnienie wszystkich założeń projektu repozytorium – Dataverse. Zmiana ta nie wywołuje zmian żadnych odnośnie założonego budżetu, terminu, kamieni milowych.</w:t>
            </w:r>
            <w:r w:rsidR="00C31361" w:rsidRPr="00960A7E">
              <w:rPr>
                <w:rFonts w:cstheme="minorHAnsi"/>
                <w:sz w:val="18"/>
                <w:szCs w:val="18"/>
              </w:rPr>
              <w:t xml:space="preserve"> Z</w:t>
            </w:r>
            <w:r w:rsidR="00960A7E" w:rsidRPr="00960A7E">
              <w:rPr>
                <w:rFonts w:cstheme="minorHAnsi"/>
                <w:sz w:val="18"/>
                <w:szCs w:val="18"/>
              </w:rPr>
              <w:t>g</w:t>
            </w:r>
            <w:r w:rsidR="00C31361" w:rsidRPr="00960A7E">
              <w:rPr>
                <w:rFonts w:cstheme="minorHAnsi"/>
                <w:sz w:val="18"/>
                <w:szCs w:val="18"/>
              </w:rPr>
              <w:t>odę z CPPC otrzymano.</w:t>
            </w:r>
          </w:p>
        </w:tc>
      </w:tr>
      <w:tr w:rsidR="00DB1DFE" w:rsidRPr="00DB1DFE" w14:paraId="41B51903" w14:textId="77777777" w:rsidTr="006F7AE7">
        <w:tc>
          <w:tcPr>
            <w:tcW w:w="3265" w:type="dxa"/>
            <w:vAlign w:val="center"/>
          </w:tcPr>
          <w:p w14:paraId="77789D10"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Przekroczenie terminów</w:t>
            </w:r>
          </w:p>
        </w:tc>
        <w:tc>
          <w:tcPr>
            <w:tcW w:w="988" w:type="dxa"/>
          </w:tcPr>
          <w:p w14:paraId="692E5A7B"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325221A3" w14:textId="77777777" w:rsidR="006717C5" w:rsidRPr="00960A7E" w:rsidRDefault="006717C5" w:rsidP="006F7AE7">
            <w:pPr>
              <w:spacing w:after="0" w:line="240" w:lineRule="auto"/>
              <w:rPr>
                <w:rFonts w:cstheme="minorHAnsi"/>
                <w:sz w:val="18"/>
                <w:szCs w:val="18"/>
                <w:lang w:eastAsia="pl-PL"/>
              </w:rPr>
            </w:pPr>
            <w:r w:rsidRPr="00960A7E">
              <w:rPr>
                <w:rFonts w:cstheme="minorHAnsi"/>
                <w:sz w:val="18"/>
                <w:szCs w:val="18"/>
                <w:lang w:eastAsia="pl-PL"/>
              </w:rPr>
              <w:t>Średnie</w:t>
            </w:r>
          </w:p>
        </w:tc>
        <w:tc>
          <w:tcPr>
            <w:tcW w:w="4111" w:type="dxa"/>
          </w:tcPr>
          <w:p w14:paraId="13E134D9" w14:textId="2EFBAA99" w:rsidR="006717C5" w:rsidRPr="00960A7E" w:rsidRDefault="006717C5" w:rsidP="006F7AE7">
            <w:pPr>
              <w:spacing w:after="0" w:line="240" w:lineRule="auto"/>
              <w:rPr>
                <w:rFonts w:cstheme="minorHAnsi"/>
                <w:sz w:val="18"/>
                <w:szCs w:val="18"/>
              </w:rPr>
            </w:pPr>
            <w:r w:rsidRPr="00960A7E">
              <w:rPr>
                <w:rFonts w:cstheme="minorHAnsi"/>
                <w:sz w:val="18"/>
                <w:szCs w:val="18"/>
              </w:rPr>
              <w:t>Zarządzanie tym ryzykiem opiera się na prowadzeniu działań unikających. Prowadzone jest monitorowanie postępu w realizowanych pracach w oparciu o harmonogram i obowiązujące kamienie milowe. Okresowo sprawdzane są postępy i analizowane potencjalne zagrożenia, jednocześnie dokonano podziału zadań pomiędzy osoby tak, aby z każdą umiejętnością były zaznajomione co najmniej dwie osoby w celu możliwości przesuwania zasobów. W sytuacji zagrożenia terminowości, możliwe jest wybranie najważniejszych funkcjonalności. Opóźniają się prace związane z zamawianiem usług programistycznych, ogłoszono przetarg</w:t>
            </w:r>
            <w:r w:rsidR="00960A7E" w:rsidRPr="00960A7E">
              <w:rPr>
                <w:rFonts w:cstheme="minorHAnsi"/>
                <w:sz w:val="18"/>
                <w:szCs w:val="18"/>
              </w:rPr>
              <w:t>i</w:t>
            </w:r>
            <w:r w:rsidRPr="00960A7E">
              <w:rPr>
                <w:rFonts w:cstheme="minorHAnsi"/>
                <w:sz w:val="18"/>
                <w:szCs w:val="18"/>
              </w:rPr>
              <w:t xml:space="preserve"> na usługi IT, </w:t>
            </w:r>
            <w:r w:rsidR="00960A7E" w:rsidRPr="00960A7E">
              <w:rPr>
                <w:rFonts w:cstheme="minorHAnsi"/>
                <w:sz w:val="18"/>
                <w:szCs w:val="18"/>
              </w:rPr>
              <w:t>pozostałe umowy przetargowe, poza jedną zawarto</w:t>
            </w:r>
            <w:r w:rsidRPr="00960A7E">
              <w:rPr>
                <w:rFonts w:cstheme="minorHAnsi"/>
                <w:sz w:val="18"/>
                <w:szCs w:val="18"/>
              </w:rPr>
              <w:t>.</w:t>
            </w:r>
          </w:p>
        </w:tc>
      </w:tr>
      <w:tr w:rsidR="007F223B" w:rsidRPr="007F223B" w14:paraId="09562846" w14:textId="77777777" w:rsidTr="006F7AE7">
        <w:tc>
          <w:tcPr>
            <w:tcW w:w="3265" w:type="dxa"/>
            <w:vAlign w:val="center"/>
          </w:tcPr>
          <w:p w14:paraId="5B8D5A0F" w14:textId="77777777" w:rsidR="006717C5" w:rsidRPr="007F223B" w:rsidRDefault="006717C5" w:rsidP="006F7AE7">
            <w:pPr>
              <w:spacing w:after="0" w:line="240" w:lineRule="auto"/>
              <w:rPr>
                <w:rFonts w:cstheme="minorHAnsi"/>
                <w:b/>
                <w:bCs/>
                <w:sz w:val="18"/>
                <w:szCs w:val="18"/>
              </w:rPr>
            </w:pPr>
            <w:r w:rsidRPr="007F223B">
              <w:rPr>
                <w:rFonts w:cstheme="minorHAnsi"/>
                <w:sz w:val="18"/>
                <w:szCs w:val="18"/>
              </w:rPr>
              <w:t>Przekroczenie budżetu całego projektu lub danej instytucji</w:t>
            </w:r>
          </w:p>
        </w:tc>
        <w:tc>
          <w:tcPr>
            <w:tcW w:w="988" w:type="dxa"/>
          </w:tcPr>
          <w:p w14:paraId="58C4E6B6"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14D3B839"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194F2FF6"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Zarządzanie tym ryzykiem opiera się na prowadzeniu działań unikających. W ramach działań zarządczych prowadzone jest monitorowanie postępu w realizowanych pracach w oparciu o budżet oraz wytyczne kwalifikowalności.</w:t>
            </w:r>
          </w:p>
          <w:p w14:paraId="0DEFAE43"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Prowadzone działania zapewniają uzyskiwanie wydatków najbardziej efektywnych ekonomicznie i jednocześnie spełniających potrzeby projektowe.</w:t>
            </w:r>
          </w:p>
          <w:p w14:paraId="3EFCF52A"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 xml:space="preserve">Nie wystąpiła zmiana w ryzyku od poprzedniego okresu sprawozdawczego.   </w:t>
            </w:r>
          </w:p>
        </w:tc>
      </w:tr>
      <w:tr w:rsidR="007F223B" w:rsidRPr="007F223B" w14:paraId="3C87D52B" w14:textId="77777777" w:rsidTr="006F7AE7">
        <w:tc>
          <w:tcPr>
            <w:tcW w:w="3265" w:type="dxa"/>
            <w:vAlign w:val="center"/>
          </w:tcPr>
          <w:p w14:paraId="4953BB01"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lastRenderedPageBreak/>
              <w:t>Odejście kluczowych osób z danych instytucji</w:t>
            </w:r>
          </w:p>
        </w:tc>
        <w:tc>
          <w:tcPr>
            <w:tcW w:w="988" w:type="dxa"/>
          </w:tcPr>
          <w:p w14:paraId="2C39EA55"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44DF97F8"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50D5DDCF"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tym ryzykiem opiera się na prowadzeniu działań unikających poprzez zapewnienie zatrudnionym pracownikom jak najlepszych warunków pracy. </w:t>
            </w:r>
          </w:p>
          <w:p w14:paraId="37AB2A70"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Od poprzedniego okresu sprawozdawczego</w:t>
            </w:r>
            <w:r w:rsidRPr="007F223B">
              <w:rPr>
                <w:rFonts w:cstheme="minorHAnsi"/>
                <w:sz w:val="18"/>
                <w:szCs w:val="18"/>
                <w:lang w:eastAsia="pl-PL"/>
              </w:rPr>
              <w:t xml:space="preserve"> nie nastąpiła zmiana.</w:t>
            </w:r>
          </w:p>
        </w:tc>
      </w:tr>
      <w:tr w:rsidR="007F223B" w:rsidRPr="007F223B" w14:paraId="078E1C3F" w14:textId="77777777" w:rsidTr="006F7AE7">
        <w:tc>
          <w:tcPr>
            <w:tcW w:w="3265" w:type="dxa"/>
            <w:vAlign w:val="center"/>
          </w:tcPr>
          <w:p w14:paraId="42099B3A"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Problemy z egzekwowaniem rezultatów wymaganych prac z danej jednostki</w:t>
            </w:r>
          </w:p>
        </w:tc>
        <w:tc>
          <w:tcPr>
            <w:tcW w:w="988" w:type="dxa"/>
          </w:tcPr>
          <w:p w14:paraId="0594DA4A"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3A86F0AC"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65CBBB44"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Zarządzanie tym ryzykiem opiera się na prowadzeniu działań unikających. Realizacja rezultatów została zabezpieczona w postaci umowy pomiędzy partnerami. Zapisy umowne obejmują kwestie realizacji wskaźników.</w:t>
            </w:r>
          </w:p>
          <w:p w14:paraId="53DC162A"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Dzięki temu brak rezultatów w jednostce partnerskiej skutkowałby korektami finansowymi lub obowiązkiem zwrotu dofinansowania. </w:t>
            </w:r>
          </w:p>
          <w:p w14:paraId="3D4B29C4"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Od poprzedniego okresu sprawozdawczego</w:t>
            </w:r>
            <w:r w:rsidRPr="007F223B">
              <w:rPr>
                <w:rFonts w:cstheme="minorHAnsi"/>
                <w:sz w:val="18"/>
                <w:szCs w:val="18"/>
                <w:lang w:eastAsia="pl-PL"/>
              </w:rPr>
              <w:t xml:space="preserve"> nie nastąpiła zmiana.</w:t>
            </w:r>
          </w:p>
        </w:tc>
      </w:tr>
      <w:tr w:rsidR="007F223B" w:rsidRPr="007F223B" w14:paraId="28777D94" w14:textId="77777777" w:rsidTr="006F7AE7">
        <w:tc>
          <w:tcPr>
            <w:tcW w:w="3265" w:type="dxa"/>
            <w:vAlign w:val="center"/>
          </w:tcPr>
          <w:p w14:paraId="71DE60C5"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Problemy kadrowe – pozyskanie specjalistów z odpowiednimi kwalifikacjami na rynku lokalnym lub możliwość ściągnięcia pracowników z odleglejszych terenów kraju</w:t>
            </w:r>
          </w:p>
        </w:tc>
        <w:tc>
          <w:tcPr>
            <w:tcW w:w="988" w:type="dxa"/>
          </w:tcPr>
          <w:p w14:paraId="7B335522"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Średnia</w:t>
            </w:r>
          </w:p>
        </w:tc>
        <w:tc>
          <w:tcPr>
            <w:tcW w:w="1134" w:type="dxa"/>
          </w:tcPr>
          <w:p w14:paraId="7B55E505"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t>Średnie</w:t>
            </w:r>
          </w:p>
        </w:tc>
        <w:tc>
          <w:tcPr>
            <w:tcW w:w="4111" w:type="dxa"/>
          </w:tcPr>
          <w:p w14:paraId="293FF1C5"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tym ryzykiem opiera się na prowadzeniu działań podnoszących szanse na pozyskanie wysoko wykwalifikowanej kadry poprzez </w:t>
            </w:r>
            <w:r w:rsidRPr="007F223B">
              <w:rPr>
                <w:rFonts w:cstheme="minorHAnsi"/>
                <w:bCs/>
                <w:sz w:val="18"/>
                <w:szCs w:val="18"/>
                <w:lang w:eastAsia="pl-PL"/>
              </w:rPr>
              <w:t>właściwe promowanie zapotrzebowania na nowych pracowników. Dzięki temu podwyższona zostanie szansa na pozyskanie personelu.</w:t>
            </w:r>
          </w:p>
          <w:p w14:paraId="152ADD46" w14:textId="77777777" w:rsidR="006717C5" w:rsidRPr="007F223B" w:rsidRDefault="006717C5" w:rsidP="006F7AE7">
            <w:pPr>
              <w:pStyle w:val="Tekstkomentarza"/>
              <w:spacing w:after="0"/>
              <w:rPr>
                <w:rFonts w:cstheme="minorHAnsi"/>
                <w:sz w:val="18"/>
                <w:szCs w:val="18"/>
                <w:lang w:eastAsia="pl-PL"/>
              </w:rPr>
            </w:pPr>
            <w:r w:rsidRPr="007F223B">
              <w:rPr>
                <w:rFonts w:cstheme="minorHAnsi"/>
                <w:sz w:val="18"/>
                <w:szCs w:val="18"/>
              </w:rPr>
              <w:t>Ryzyko zostało zamknięte, ponieważ personel projektu zatrudniono.</w:t>
            </w:r>
            <w:r w:rsidRPr="007F223B">
              <w:rPr>
                <w:rFonts w:cstheme="minorHAnsi"/>
                <w:sz w:val="18"/>
                <w:szCs w:val="18"/>
                <w:lang w:eastAsia="pl-PL"/>
              </w:rPr>
              <w:t xml:space="preserve"> </w:t>
            </w:r>
          </w:p>
        </w:tc>
      </w:tr>
      <w:tr w:rsidR="00DB1DFE" w:rsidRPr="00960A7E" w14:paraId="770B378B" w14:textId="77777777" w:rsidTr="006F7AE7">
        <w:tc>
          <w:tcPr>
            <w:tcW w:w="3265" w:type="dxa"/>
          </w:tcPr>
          <w:p w14:paraId="0B19649F"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 xml:space="preserve">Ryzyko związane z zakupami i przetargami – źle oszacowany koszt zakupów, </w:t>
            </w:r>
          </w:p>
        </w:tc>
        <w:tc>
          <w:tcPr>
            <w:tcW w:w="988" w:type="dxa"/>
          </w:tcPr>
          <w:p w14:paraId="6835D0AC"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Małe</w:t>
            </w:r>
          </w:p>
        </w:tc>
        <w:tc>
          <w:tcPr>
            <w:tcW w:w="1134" w:type="dxa"/>
          </w:tcPr>
          <w:p w14:paraId="73933710"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Niskie</w:t>
            </w:r>
          </w:p>
        </w:tc>
        <w:tc>
          <w:tcPr>
            <w:tcW w:w="4111" w:type="dxa"/>
          </w:tcPr>
          <w:p w14:paraId="71B4662F" w14:textId="7B36411C" w:rsidR="006717C5" w:rsidRPr="00960A7E" w:rsidRDefault="006717C5" w:rsidP="006F7AE7">
            <w:pPr>
              <w:pStyle w:val="Tekstkomentarza"/>
              <w:spacing w:after="0"/>
              <w:rPr>
                <w:rFonts w:cstheme="minorHAnsi"/>
                <w:sz w:val="18"/>
                <w:szCs w:val="18"/>
              </w:rPr>
            </w:pPr>
            <w:r w:rsidRPr="00960A7E">
              <w:rPr>
                <w:rFonts w:cstheme="minorHAnsi"/>
                <w:sz w:val="18"/>
                <w:szCs w:val="18"/>
              </w:rPr>
              <w:t>Zarządzanie tym ryzykiem opiera</w:t>
            </w:r>
            <w:r w:rsidR="007F223B" w:rsidRPr="00960A7E">
              <w:rPr>
                <w:rFonts w:cstheme="minorHAnsi"/>
                <w:sz w:val="18"/>
                <w:szCs w:val="18"/>
              </w:rPr>
              <w:t>ło</w:t>
            </w:r>
            <w:r w:rsidRPr="00960A7E">
              <w:rPr>
                <w:rFonts w:cstheme="minorHAnsi"/>
                <w:sz w:val="18"/>
                <w:szCs w:val="18"/>
              </w:rPr>
              <w:t xml:space="preserve"> się na śledzeniu stanu rynku. W ramach działań przeprowadzono kilkukrotne badanie rynku. </w:t>
            </w:r>
          </w:p>
          <w:p w14:paraId="30C0FF34" w14:textId="34B2E84F" w:rsidR="006717C5" w:rsidRPr="00960A7E" w:rsidRDefault="00960A7E" w:rsidP="006F7AE7">
            <w:pPr>
              <w:spacing w:after="0" w:line="240" w:lineRule="auto"/>
              <w:rPr>
                <w:rFonts w:cstheme="minorHAnsi"/>
                <w:sz w:val="18"/>
                <w:szCs w:val="18"/>
                <w:lang w:eastAsia="pl-PL"/>
              </w:rPr>
            </w:pPr>
            <w:r w:rsidRPr="00960A7E">
              <w:rPr>
                <w:rFonts w:cstheme="minorHAnsi"/>
                <w:sz w:val="18"/>
                <w:szCs w:val="18"/>
              </w:rPr>
              <w:t>Większość</w:t>
            </w:r>
            <w:r w:rsidR="007F223B" w:rsidRPr="00960A7E">
              <w:rPr>
                <w:rFonts w:cstheme="minorHAnsi"/>
                <w:sz w:val="18"/>
                <w:szCs w:val="18"/>
              </w:rPr>
              <w:t xml:space="preserve"> sprzęt</w:t>
            </w:r>
            <w:r w:rsidRPr="00960A7E">
              <w:rPr>
                <w:rFonts w:cstheme="minorHAnsi"/>
                <w:sz w:val="18"/>
                <w:szCs w:val="18"/>
              </w:rPr>
              <w:t>ów</w:t>
            </w:r>
            <w:r w:rsidR="007F223B" w:rsidRPr="00960A7E">
              <w:rPr>
                <w:rFonts w:cstheme="minorHAnsi"/>
                <w:sz w:val="18"/>
                <w:szCs w:val="18"/>
              </w:rPr>
              <w:t xml:space="preserve"> zakupiono, poza jednym, uzuskano znaczne oszczędności</w:t>
            </w:r>
            <w:r w:rsidR="006717C5" w:rsidRPr="00960A7E">
              <w:rPr>
                <w:rFonts w:cstheme="minorHAnsi"/>
                <w:sz w:val="18"/>
                <w:szCs w:val="18"/>
                <w:lang w:eastAsia="pl-PL"/>
              </w:rPr>
              <w:t>.</w:t>
            </w:r>
          </w:p>
        </w:tc>
      </w:tr>
      <w:tr w:rsidR="00DB1DFE" w:rsidRPr="00960A7E" w14:paraId="2512632C" w14:textId="77777777" w:rsidTr="006F7AE7">
        <w:tc>
          <w:tcPr>
            <w:tcW w:w="3265" w:type="dxa"/>
          </w:tcPr>
          <w:p w14:paraId="045EBE8B"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opóźnienia realizacji procedury przetargowej,</w:t>
            </w:r>
          </w:p>
        </w:tc>
        <w:tc>
          <w:tcPr>
            <w:tcW w:w="988" w:type="dxa"/>
          </w:tcPr>
          <w:p w14:paraId="41C09577"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1432CE33"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Średnie</w:t>
            </w:r>
          </w:p>
        </w:tc>
        <w:tc>
          <w:tcPr>
            <w:tcW w:w="4111" w:type="dxa"/>
          </w:tcPr>
          <w:p w14:paraId="7C1D3771" w14:textId="77777777" w:rsidR="006717C5" w:rsidRPr="00960A7E" w:rsidRDefault="006717C5" w:rsidP="006F7AE7">
            <w:pPr>
              <w:pStyle w:val="Tekstkomentarza"/>
              <w:spacing w:after="0"/>
              <w:rPr>
                <w:rFonts w:cstheme="minorHAnsi"/>
                <w:sz w:val="18"/>
                <w:szCs w:val="18"/>
              </w:rPr>
            </w:pPr>
            <w:r w:rsidRPr="00960A7E">
              <w:rPr>
                <w:rFonts w:cstheme="minorHAnsi"/>
                <w:sz w:val="18"/>
                <w:szCs w:val="18"/>
              </w:rPr>
              <w:t xml:space="preserve">Zarządzanie tym ryzykiem opiera się na prowadzeniu działań unikających poprzez staranne przygotowanie technicznej i formalnej specyfikacji wymagań przetargowych, wykorzystanie dotychczasowego doświadczenia i konsultacja z działami prawnymi, planowanie zakupów z uwzględnieniem możliwych opóźnień i odwołań. </w:t>
            </w:r>
          </w:p>
          <w:p w14:paraId="07E4DDBE" w14:textId="77777777" w:rsidR="006717C5" w:rsidRPr="00960A7E" w:rsidRDefault="006717C5" w:rsidP="006F7AE7">
            <w:pPr>
              <w:pStyle w:val="Tekstkomentarza"/>
              <w:spacing w:after="0"/>
              <w:rPr>
                <w:rFonts w:cstheme="minorHAnsi"/>
                <w:sz w:val="18"/>
                <w:szCs w:val="18"/>
                <w:lang w:eastAsia="pl-PL"/>
              </w:rPr>
            </w:pPr>
            <w:r w:rsidRPr="00960A7E">
              <w:rPr>
                <w:rFonts w:cstheme="minorHAnsi"/>
                <w:sz w:val="18"/>
                <w:szCs w:val="18"/>
              </w:rPr>
              <w:t xml:space="preserve">W efekcie obniżono ryzyko wystąpienia błędów proceduralnych i merytorycznych, mogących skutkować opóźnieniami. </w:t>
            </w:r>
          </w:p>
          <w:p w14:paraId="721B86E1" w14:textId="281C10A5" w:rsidR="006717C5" w:rsidRPr="00960A7E" w:rsidRDefault="00960A7E" w:rsidP="006F7AE7">
            <w:pPr>
              <w:pStyle w:val="Tekstkomentarza"/>
              <w:spacing w:after="0"/>
              <w:rPr>
                <w:rFonts w:cstheme="minorHAnsi"/>
                <w:sz w:val="18"/>
                <w:szCs w:val="18"/>
                <w:lang w:eastAsia="pl-PL"/>
              </w:rPr>
            </w:pPr>
            <w:r w:rsidRPr="00960A7E">
              <w:rPr>
                <w:rFonts w:cstheme="minorHAnsi"/>
                <w:sz w:val="18"/>
                <w:szCs w:val="18"/>
                <w:lang w:eastAsia="pl-PL"/>
              </w:rPr>
              <w:t xml:space="preserve">Opóźnienia wystąpiły, jednak nie wpłyną one na realizację kamieni milowych. Zawarto prawie wszystkie umowy przetargowe, poza jedną. </w:t>
            </w:r>
          </w:p>
        </w:tc>
      </w:tr>
      <w:tr w:rsidR="00DB1DFE" w:rsidRPr="00960A7E" w14:paraId="43895451" w14:textId="77777777" w:rsidTr="006F7AE7">
        <w:tc>
          <w:tcPr>
            <w:tcW w:w="3265" w:type="dxa"/>
          </w:tcPr>
          <w:p w14:paraId="4D734528" w14:textId="77777777" w:rsidR="006717C5" w:rsidRPr="00960A7E" w:rsidRDefault="006717C5" w:rsidP="006F7AE7">
            <w:pPr>
              <w:spacing w:after="0" w:line="240" w:lineRule="auto"/>
              <w:rPr>
                <w:rFonts w:cstheme="minorHAnsi"/>
                <w:sz w:val="18"/>
                <w:szCs w:val="18"/>
              </w:rPr>
            </w:pPr>
            <w:r w:rsidRPr="00960A7E">
              <w:rPr>
                <w:rFonts w:cstheme="minorHAnsi"/>
                <w:sz w:val="18"/>
                <w:szCs w:val="18"/>
              </w:rPr>
              <w:t>opóźnienia dostaw</w:t>
            </w:r>
          </w:p>
        </w:tc>
        <w:tc>
          <w:tcPr>
            <w:tcW w:w="988" w:type="dxa"/>
          </w:tcPr>
          <w:p w14:paraId="5A30F5E2"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Średnia</w:t>
            </w:r>
          </w:p>
        </w:tc>
        <w:tc>
          <w:tcPr>
            <w:tcW w:w="1134" w:type="dxa"/>
          </w:tcPr>
          <w:p w14:paraId="2355BD97" w14:textId="77777777" w:rsidR="006717C5" w:rsidRPr="00960A7E" w:rsidRDefault="006717C5" w:rsidP="006F7AE7">
            <w:pPr>
              <w:spacing w:after="0" w:line="240" w:lineRule="auto"/>
              <w:rPr>
                <w:rFonts w:cstheme="minorHAnsi"/>
                <w:sz w:val="18"/>
                <w:szCs w:val="18"/>
              </w:rPr>
            </w:pPr>
            <w:r w:rsidRPr="00960A7E">
              <w:rPr>
                <w:rFonts w:cstheme="minorHAnsi"/>
                <w:sz w:val="18"/>
                <w:szCs w:val="18"/>
                <w:lang w:eastAsia="pl-PL"/>
              </w:rPr>
              <w:t>Średnie</w:t>
            </w:r>
          </w:p>
        </w:tc>
        <w:tc>
          <w:tcPr>
            <w:tcW w:w="4111" w:type="dxa"/>
          </w:tcPr>
          <w:p w14:paraId="2B56FF35" w14:textId="77777777" w:rsidR="006717C5" w:rsidRPr="00960A7E" w:rsidRDefault="006717C5" w:rsidP="006F7AE7">
            <w:pPr>
              <w:pStyle w:val="Tekstkomentarza"/>
              <w:spacing w:after="0"/>
              <w:rPr>
                <w:rFonts w:cstheme="minorHAnsi"/>
                <w:sz w:val="18"/>
                <w:szCs w:val="18"/>
                <w:lang w:eastAsia="pl-PL"/>
              </w:rPr>
            </w:pPr>
            <w:r w:rsidRPr="00960A7E">
              <w:rPr>
                <w:rFonts w:cstheme="minorHAnsi"/>
                <w:sz w:val="18"/>
                <w:szCs w:val="18"/>
              </w:rPr>
              <w:t>Jak wyżej.</w:t>
            </w:r>
          </w:p>
        </w:tc>
      </w:tr>
    </w:tbl>
    <w:p w14:paraId="06748CE2" w14:textId="77777777" w:rsidR="006717C5" w:rsidRPr="00960A7E" w:rsidRDefault="006717C5" w:rsidP="00D46DE2">
      <w:pPr>
        <w:pStyle w:val="Akapitzlist"/>
        <w:spacing w:after="0" w:line="240" w:lineRule="auto"/>
        <w:ind w:left="360"/>
        <w:rPr>
          <w:rFonts w:cstheme="minorHAnsi"/>
          <w:b/>
          <w:bCs/>
          <w:sz w:val="18"/>
          <w:szCs w:val="18"/>
        </w:rPr>
      </w:pPr>
    </w:p>
    <w:p w14:paraId="404D6B54" w14:textId="77777777" w:rsidR="006717C5" w:rsidRPr="00960A7E" w:rsidRDefault="006717C5" w:rsidP="00D46DE2">
      <w:pPr>
        <w:spacing w:after="0" w:line="240" w:lineRule="auto"/>
        <w:rPr>
          <w:rFonts w:cstheme="minorHAnsi"/>
          <w:b/>
          <w:bCs/>
          <w:sz w:val="18"/>
          <w:szCs w:val="18"/>
        </w:rPr>
      </w:pPr>
      <w:r w:rsidRPr="00960A7E">
        <w:rPr>
          <w:rFonts w:cstheme="minorHAnsi"/>
          <w:b/>
          <w:bCs/>
          <w:sz w:val="18"/>
          <w:szCs w:val="18"/>
        </w:rPr>
        <w:t>Ryzyka wpływające na utrzymanie efektów projektu</w:t>
      </w:r>
    </w:p>
    <w:tbl>
      <w:tblPr>
        <w:tblW w:w="9780"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369"/>
        <w:gridCol w:w="993"/>
        <w:gridCol w:w="1559"/>
        <w:gridCol w:w="4859"/>
      </w:tblGrid>
      <w:tr w:rsidR="00DB1DFE" w:rsidRPr="00960A7E" w14:paraId="4265A9DE" w14:textId="77777777" w:rsidTr="006F7AE7">
        <w:trPr>
          <w:trHeight w:val="724"/>
        </w:trPr>
        <w:tc>
          <w:tcPr>
            <w:tcW w:w="2369" w:type="dxa"/>
            <w:shd w:val="clear" w:color="auto" w:fill="D9D9D9"/>
            <w:vAlign w:val="center"/>
          </w:tcPr>
          <w:p w14:paraId="751B5C50" w14:textId="77777777" w:rsidR="006717C5" w:rsidRPr="00960A7E" w:rsidRDefault="006717C5" w:rsidP="006F7AE7">
            <w:pPr>
              <w:spacing w:after="0" w:line="240" w:lineRule="auto"/>
              <w:jc w:val="center"/>
              <w:rPr>
                <w:rFonts w:eastAsia="MS MinNew Roman" w:cstheme="minorHAnsi"/>
                <w:b/>
                <w:bCs/>
                <w:sz w:val="18"/>
                <w:szCs w:val="18"/>
              </w:rPr>
            </w:pPr>
            <w:r w:rsidRPr="00960A7E">
              <w:rPr>
                <w:rFonts w:eastAsia="MS MinNew Roman" w:cstheme="minorHAnsi"/>
                <w:b/>
                <w:bCs/>
                <w:sz w:val="18"/>
                <w:szCs w:val="18"/>
              </w:rPr>
              <w:t>Nazwa ryzyka</w:t>
            </w:r>
          </w:p>
        </w:tc>
        <w:tc>
          <w:tcPr>
            <w:tcW w:w="993" w:type="dxa"/>
            <w:shd w:val="clear" w:color="auto" w:fill="D9D9D9"/>
            <w:vAlign w:val="center"/>
          </w:tcPr>
          <w:p w14:paraId="35B1715C" w14:textId="77777777" w:rsidR="006717C5" w:rsidRPr="00960A7E" w:rsidRDefault="006717C5" w:rsidP="006F7AE7">
            <w:pPr>
              <w:pStyle w:val="Legenda"/>
              <w:jc w:val="center"/>
              <w:rPr>
                <w:rFonts w:asciiTheme="minorHAnsi" w:hAnsiTheme="minorHAnsi" w:cstheme="minorHAnsi"/>
                <w:sz w:val="18"/>
                <w:szCs w:val="18"/>
                <w:lang w:eastAsia="pl-PL"/>
              </w:rPr>
            </w:pPr>
            <w:r w:rsidRPr="00960A7E">
              <w:rPr>
                <w:rFonts w:asciiTheme="minorHAnsi" w:hAnsiTheme="minorHAnsi" w:cstheme="minorHAnsi"/>
                <w:sz w:val="18"/>
                <w:szCs w:val="18"/>
              </w:rPr>
              <w:t>Siła oddziaływania</w:t>
            </w:r>
          </w:p>
        </w:tc>
        <w:tc>
          <w:tcPr>
            <w:tcW w:w="1559" w:type="dxa"/>
            <w:shd w:val="clear" w:color="auto" w:fill="D9D9D9"/>
          </w:tcPr>
          <w:p w14:paraId="7356997B" w14:textId="77777777" w:rsidR="006717C5" w:rsidRPr="00960A7E" w:rsidRDefault="006717C5" w:rsidP="006F7AE7">
            <w:pPr>
              <w:pStyle w:val="Legenda"/>
              <w:jc w:val="center"/>
              <w:rPr>
                <w:rFonts w:asciiTheme="minorHAnsi" w:hAnsiTheme="minorHAnsi" w:cstheme="minorHAnsi"/>
                <w:sz w:val="18"/>
                <w:szCs w:val="18"/>
              </w:rPr>
            </w:pPr>
            <w:r w:rsidRPr="00960A7E">
              <w:rPr>
                <w:rFonts w:asciiTheme="minorHAnsi" w:hAnsiTheme="minorHAnsi" w:cstheme="minorHAnsi"/>
                <w:sz w:val="18"/>
                <w:szCs w:val="18"/>
              </w:rPr>
              <w:t>Prawdopodobieństwo wystąpienia ryzyka</w:t>
            </w:r>
          </w:p>
        </w:tc>
        <w:tc>
          <w:tcPr>
            <w:tcW w:w="4859" w:type="dxa"/>
            <w:shd w:val="clear" w:color="auto" w:fill="D9D9D9"/>
            <w:vAlign w:val="center"/>
          </w:tcPr>
          <w:p w14:paraId="5C4AF353" w14:textId="77777777" w:rsidR="006717C5" w:rsidRPr="00960A7E" w:rsidRDefault="006717C5" w:rsidP="006F7AE7">
            <w:pPr>
              <w:pStyle w:val="Legenda"/>
              <w:jc w:val="center"/>
              <w:rPr>
                <w:rFonts w:asciiTheme="minorHAnsi" w:hAnsiTheme="minorHAnsi" w:cstheme="minorHAnsi"/>
                <w:sz w:val="18"/>
                <w:szCs w:val="18"/>
                <w:lang w:eastAsia="pl-PL"/>
              </w:rPr>
            </w:pPr>
            <w:r w:rsidRPr="00960A7E">
              <w:rPr>
                <w:rFonts w:asciiTheme="minorHAnsi" w:hAnsiTheme="minorHAnsi" w:cstheme="minorHAnsi"/>
                <w:sz w:val="18"/>
                <w:szCs w:val="18"/>
              </w:rPr>
              <w:t>Sposób zarzadzania ryzykiem</w:t>
            </w:r>
          </w:p>
        </w:tc>
      </w:tr>
      <w:tr w:rsidR="00DB1DFE" w:rsidRPr="00DB1DFE" w14:paraId="086BC455" w14:textId="77777777" w:rsidTr="006F7AE7">
        <w:trPr>
          <w:trHeight w:val="724"/>
        </w:trPr>
        <w:tc>
          <w:tcPr>
            <w:tcW w:w="2369" w:type="dxa"/>
          </w:tcPr>
          <w:p w14:paraId="51328702" w14:textId="77777777" w:rsidR="006717C5" w:rsidRPr="007F223B" w:rsidRDefault="006717C5" w:rsidP="006F7AE7">
            <w:pPr>
              <w:spacing w:after="0" w:line="240" w:lineRule="auto"/>
              <w:rPr>
                <w:rFonts w:cstheme="minorHAnsi"/>
                <w:sz w:val="18"/>
                <w:szCs w:val="18"/>
              </w:rPr>
            </w:pPr>
            <w:r w:rsidRPr="007F223B">
              <w:rPr>
                <w:rFonts w:cstheme="minorHAnsi"/>
                <w:sz w:val="18"/>
                <w:szCs w:val="18"/>
              </w:rPr>
              <w:t xml:space="preserve">Ryzyko związane z poprawnym funkcjonowaniem zakupionej infrastruktury i awariami sprzętu. </w:t>
            </w:r>
          </w:p>
        </w:tc>
        <w:tc>
          <w:tcPr>
            <w:tcW w:w="993" w:type="dxa"/>
            <w:shd w:val="clear" w:color="auto" w:fill="FFFFFF"/>
          </w:tcPr>
          <w:p w14:paraId="1A723E02"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sz w:val="18"/>
                <w:szCs w:val="18"/>
                <w:lang w:eastAsia="pl-PL"/>
              </w:rPr>
              <w:t>małe</w:t>
            </w:r>
          </w:p>
        </w:tc>
        <w:tc>
          <w:tcPr>
            <w:tcW w:w="1559" w:type="dxa"/>
            <w:shd w:val="clear" w:color="auto" w:fill="FFFFFF"/>
          </w:tcPr>
          <w:p w14:paraId="2BC183E2"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Średnie</w:t>
            </w:r>
          </w:p>
        </w:tc>
        <w:tc>
          <w:tcPr>
            <w:tcW w:w="4859" w:type="dxa"/>
            <w:shd w:val="clear" w:color="auto" w:fill="FFFFFF"/>
          </w:tcPr>
          <w:p w14:paraId="39ED2E92" w14:textId="77777777" w:rsidR="006717C5" w:rsidRPr="00960A7E" w:rsidRDefault="006717C5" w:rsidP="00960A7E">
            <w:pPr>
              <w:spacing w:after="0" w:line="240" w:lineRule="auto"/>
              <w:rPr>
                <w:rFonts w:cstheme="minorHAnsi"/>
                <w:sz w:val="18"/>
                <w:szCs w:val="18"/>
              </w:rPr>
            </w:pPr>
            <w:r w:rsidRPr="007F223B">
              <w:rPr>
                <w:rFonts w:cstheme="minorHAnsi"/>
                <w:sz w:val="18"/>
                <w:szCs w:val="18"/>
              </w:rPr>
              <w:t xml:space="preserve">Zarządzanie tym ryzykiem opiera się na zastosowaniu zabezpieczeń w umowach, długiego czasu gwarancji, </w:t>
            </w:r>
            <w:r w:rsidRPr="00960A7E">
              <w:rPr>
                <w:rFonts w:cstheme="minorHAnsi"/>
                <w:sz w:val="18"/>
                <w:szCs w:val="18"/>
              </w:rPr>
              <w:t>rozważenie zawarcia umów ubezpieczeniowych oraz zawarcia umów z opcją uzyskania sprzętu zastępczego na czas naprawy. W sytuacji wystąpienia ryzyka rozwiązaniem będzie ponowny zakup zepsutego sprzętu.</w:t>
            </w:r>
          </w:p>
          <w:p w14:paraId="5B207D17" w14:textId="77777777" w:rsidR="006717C5" w:rsidRPr="007F223B" w:rsidRDefault="006717C5" w:rsidP="00960A7E">
            <w:pPr>
              <w:spacing w:after="0" w:line="240" w:lineRule="auto"/>
              <w:rPr>
                <w:rFonts w:cstheme="minorHAnsi"/>
                <w:sz w:val="18"/>
                <w:szCs w:val="18"/>
                <w:lang w:eastAsia="pl-PL"/>
              </w:rPr>
            </w:pPr>
            <w:r w:rsidRPr="00960A7E">
              <w:rPr>
                <w:rFonts w:cstheme="minorHAnsi"/>
                <w:sz w:val="18"/>
                <w:szCs w:val="18"/>
              </w:rPr>
              <w:t>Od poprzedniego okresu sprawozdawczego</w:t>
            </w:r>
            <w:r w:rsidRPr="007F223B">
              <w:rPr>
                <w:rFonts w:cstheme="minorHAnsi"/>
                <w:sz w:val="18"/>
                <w:szCs w:val="18"/>
              </w:rPr>
              <w:t xml:space="preserve"> nie nastąpiła zmiana.</w:t>
            </w:r>
          </w:p>
        </w:tc>
      </w:tr>
      <w:tr w:rsidR="00DB1DFE" w:rsidRPr="00DB1DFE" w14:paraId="1AECD934" w14:textId="77777777" w:rsidTr="006F7AE7">
        <w:trPr>
          <w:trHeight w:val="724"/>
        </w:trPr>
        <w:tc>
          <w:tcPr>
            <w:tcW w:w="2369" w:type="dxa"/>
          </w:tcPr>
          <w:p w14:paraId="2957B6B7" w14:textId="77777777" w:rsidR="006717C5" w:rsidRPr="007F223B" w:rsidRDefault="006717C5" w:rsidP="006F7AE7">
            <w:pPr>
              <w:spacing w:after="0" w:line="240" w:lineRule="auto"/>
              <w:rPr>
                <w:rFonts w:cstheme="minorHAnsi"/>
                <w:sz w:val="18"/>
                <w:szCs w:val="18"/>
                <w:lang w:eastAsia="pl-PL"/>
              </w:rPr>
            </w:pPr>
            <w:r w:rsidRPr="007F223B">
              <w:rPr>
                <w:rFonts w:cstheme="minorHAnsi"/>
                <w:sz w:val="18"/>
                <w:szCs w:val="18"/>
                <w:lang w:eastAsia="pl-PL"/>
              </w:rPr>
              <w:lastRenderedPageBreak/>
              <w:t>Każdy z partnerów musi do realizacji projektu zatrudnić kilka dodatkowych osób, a region województwa podlaskiego jest uboższy w kadry niż pozostałe rejony kraju.</w:t>
            </w:r>
          </w:p>
        </w:tc>
        <w:tc>
          <w:tcPr>
            <w:tcW w:w="993" w:type="dxa"/>
            <w:shd w:val="clear" w:color="auto" w:fill="FFFFFF"/>
          </w:tcPr>
          <w:p w14:paraId="2509490C"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średnia</w:t>
            </w:r>
          </w:p>
        </w:tc>
        <w:tc>
          <w:tcPr>
            <w:tcW w:w="1559" w:type="dxa"/>
            <w:shd w:val="clear" w:color="auto" w:fill="FFFFFF"/>
          </w:tcPr>
          <w:p w14:paraId="70441E88" w14:textId="77777777" w:rsidR="006717C5" w:rsidRPr="007F223B" w:rsidRDefault="006717C5" w:rsidP="006F7AE7">
            <w:pPr>
              <w:pStyle w:val="Legenda"/>
              <w:rPr>
                <w:rFonts w:asciiTheme="minorHAnsi" w:hAnsiTheme="minorHAnsi" w:cstheme="minorHAnsi"/>
                <w:b w:val="0"/>
                <w:bCs w:val="0"/>
                <w:kern w:val="0"/>
                <w:sz w:val="18"/>
                <w:szCs w:val="18"/>
                <w:lang w:eastAsia="pl-PL"/>
              </w:rPr>
            </w:pPr>
            <w:r w:rsidRPr="007F223B">
              <w:rPr>
                <w:rFonts w:asciiTheme="minorHAnsi" w:hAnsiTheme="minorHAnsi" w:cstheme="minorHAnsi"/>
                <w:b w:val="0"/>
                <w:bCs w:val="0"/>
                <w:kern w:val="0"/>
                <w:sz w:val="18"/>
                <w:szCs w:val="18"/>
                <w:lang w:eastAsia="pl-PL"/>
              </w:rPr>
              <w:t>Średnie</w:t>
            </w:r>
          </w:p>
        </w:tc>
        <w:tc>
          <w:tcPr>
            <w:tcW w:w="4859" w:type="dxa"/>
            <w:shd w:val="clear" w:color="auto" w:fill="FFFFFF"/>
          </w:tcPr>
          <w:p w14:paraId="00544B0F"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Zarządzanie ryzykiem polegało na opublikowaniu ogłoszeń o poszukiwaniu pracowników na stronach internetowych, w mediach społecznościowych oraz poprzez grupy tematyczne. </w:t>
            </w:r>
          </w:p>
          <w:p w14:paraId="3CD03778" w14:textId="77777777" w:rsidR="006717C5" w:rsidRPr="007F223B" w:rsidRDefault="006717C5" w:rsidP="006F7AE7">
            <w:pPr>
              <w:pStyle w:val="Tekstkomentarza"/>
              <w:spacing w:after="0"/>
              <w:rPr>
                <w:rFonts w:cstheme="minorHAnsi"/>
                <w:sz w:val="18"/>
                <w:szCs w:val="18"/>
              </w:rPr>
            </w:pPr>
            <w:r w:rsidRPr="007F223B">
              <w:rPr>
                <w:rFonts w:cstheme="minorHAnsi"/>
                <w:sz w:val="18"/>
                <w:szCs w:val="18"/>
              </w:rPr>
              <w:t xml:space="preserve">Ryzyko zostało zamknięte, ponieważ w trakcie rekrutacji zatrudniono niezbędnych pracowników. </w:t>
            </w:r>
            <w:r w:rsidRPr="00960A7E">
              <w:rPr>
                <w:rFonts w:cstheme="minorHAnsi"/>
                <w:sz w:val="18"/>
                <w:szCs w:val="18"/>
              </w:rPr>
              <w:t>Od poprzedniego okresu sprawozdawczego</w:t>
            </w:r>
            <w:r w:rsidRPr="007F223B">
              <w:rPr>
                <w:rFonts w:cstheme="minorHAnsi"/>
                <w:sz w:val="18"/>
                <w:szCs w:val="18"/>
              </w:rPr>
              <w:t xml:space="preserve"> nie nastąpiła zmiana</w:t>
            </w:r>
            <w:r w:rsidRPr="007F223B">
              <w:rPr>
                <w:rFonts w:cstheme="minorHAnsi"/>
                <w:sz w:val="18"/>
                <w:szCs w:val="18"/>
                <w:lang w:eastAsia="pl-PL"/>
              </w:rPr>
              <w:t>.</w:t>
            </w:r>
          </w:p>
        </w:tc>
      </w:tr>
    </w:tbl>
    <w:p w14:paraId="33071B39" w14:textId="35766D92" w:rsidR="00805178" w:rsidRPr="00805178" w:rsidRDefault="00805178" w:rsidP="00A86449">
      <w:pPr>
        <w:pStyle w:val="Akapitzlist"/>
        <w:numPr>
          <w:ilvl w:val="0"/>
          <w:numId w:val="19"/>
        </w:numPr>
        <w:spacing w:before="360"/>
        <w:jc w:val="both"/>
        <w:rPr>
          <w:rStyle w:val="Nagwek2Znak"/>
          <w:rFonts w:ascii="Arial" w:eastAsiaTheme="minorHAnsi" w:hAnsi="Arial" w:cs="Arial"/>
          <w:b/>
          <w:color w:val="auto"/>
          <w:sz w:val="24"/>
          <w:szCs w:val="24"/>
        </w:rPr>
      </w:pPr>
      <w:r w:rsidRPr="00805178">
        <w:rPr>
          <w:rStyle w:val="Nagwek2Znak"/>
          <w:rFonts w:ascii="Arial" w:eastAsiaTheme="minorHAnsi" w:hAnsi="Arial" w:cs="Arial"/>
          <w:b/>
          <w:color w:val="auto"/>
          <w:sz w:val="24"/>
          <w:szCs w:val="24"/>
        </w:rPr>
        <w:t>Wymiarowanie systemu informatycznego</w:t>
      </w:r>
    </w:p>
    <w:p w14:paraId="5F53AA75" w14:textId="7DD32575" w:rsidR="00805178" w:rsidRDefault="00D46DE2" w:rsidP="00D46DE2">
      <w:pPr>
        <w:pStyle w:val="Akapitzlist"/>
        <w:spacing w:before="360"/>
        <w:ind w:left="360"/>
        <w:jc w:val="both"/>
        <w:rPr>
          <w:rFonts w:cstheme="minorHAnsi"/>
          <w:sz w:val="24"/>
          <w:szCs w:val="24"/>
          <w:lang w:eastAsia="pl-PL"/>
        </w:rPr>
      </w:pPr>
      <w:r w:rsidRPr="00D46DE2">
        <w:rPr>
          <w:rFonts w:cstheme="minorHAnsi"/>
          <w:sz w:val="24"/>
          <w:szCs w:val="24"/>
          <w:lang w:eastAsia="pl-PL"/>
        </w:rPr>
        <w:t>Nie dotyczy.</w:t>
      </w:r>
    </w:p>
    <w:p w14:paraId="2850FE21" w14:textId="77777777" w:rsidR="00D46DE2" w:rsidRPr="00D46DE2" w:rsidRDefault="00D46DE2" w:rsidP="00D46DE2">
      <w:pPr>
        <w:pStyle w:val="Akapitzlist"/>
        <w:spacing w:before="360"/>
        <w:ind w:left="360"/>
        <w:jc w:val="both"/>
        <w:rPr>
          <w:rFonts w:cstheme="minorHAnsi"/>
          <w:sz w:val="24"/>
          <w:szCs w:val="24"/>
        </w:rPr>
      </w:pPr>
    </w:p>
    <w:p w14:paraId="0FA2F07F" w14:textId="53C9EF1A" w:rsidR="00BB059E" w:rsidRPr="00A92887" w:rsidRDefault="00BB059E" w:rsidP="00A86449">
      <w:pPr>
        <w:pStyle w:val="Akapitzlist"/>
        <w:numPr>
          <w:ilvl w:val="0"/>
          <w:numId w:val="19"/>
        </w:numPr>
        <w:spacing w:before="360"/>
        <w:jc w:val="both"/>
        <w:rPr>
          <w:rFonts w:ascii="Arial" w:hAnsi="Arial" w:cs="Arial"/>
          <w:color w:val="0070C0"/>
        </w:rPr>
      </w:pPr>
      <w:r w:rsidRPr="00141A92">
        <w:rPr>
          <w:rStyle w:val="Nagwek2Znak"/>
          <w:rFonts w:ascii="Arial" w:hAnsi="Arial" w:cs="Arial"/>
          <w:b/>
          <w:color w:val="auto"/>
          <w:sz w:val="24"/>
          <w:szCs w:val="24"/>
        </w:rPr>
        <w:t xml:space="preserve">Dane </w:t>
      </w:r>
      <w:r w:rsidRPr="00D46DE2">
        <w:rPr>
          <w:rStyle w:val="Nagwek2Znak"/>
          <w:rFonts w:ascii="Arial" w:hAnsi="Arial" w:cs="Arial"/>
          <w:b/>
          <w:color w:val="auto"/>
          <w:sz w:val="24"/>
          <w:szCs w:val="24"/>
        </w:rPr>
        <w:t>kontaktowe:</w:t>
      </w:r>
      <w:r w:rsidR="00D46DE2" w:rsidRPr="00D46DE2">
        <w:rPr>
          <w:rStyle w:val="Nagwek2Znak"/>
          <w:rFonts w:ascii="Arial" w:hAnsi="Arial" w:cs="Arial"/>
          <w:b/>
          <w:color w:val="auto"/>
          <w:sz w:val="24"/>
          <w:szCs w:val="24"/>
        </w:rPr>
        <w:t xml:space="preserve"> </w:t>
      </w:r>
      <w:r w:rsidR="00D46DE2" w:rsidRPr="00D46DE2">
        <w:rPr>
          <w:rFonts w:cstheme="minorHAnsi"/>
          <w:sz w:val="24"/>
          <w:szCs w:val="24"/>
          <w:lang w:eastAsia="pl-PL"/>
        </w:rPr>
        <w:t>Joanna Łapińska, Zespół ds. Zarządzania Projektami, jlapinska@ibs.bialowieza.pl, 692179156.</w:t>
      </w:r>
      <w:r w:rsidRPr="00141A92">
        <w:rPr>
          <w:rFonts w:ascii="Arial" w:hAnsi="Arial" w:cs="Arial"/>
          <w:b/>
        </w:rPr>
        <w:t xml:space="preserve"> </w:t>
      </w:r>
    </w:p>
    <w:p w14:paraId="3E707801" w14:textId="77777777" w:rsidR="00A92887" w:rsidRDefault="00A92887" w:rsidP="00A92887">
      <w:pPr>
        <w:spacing w:after="0"/>
        <w:jc w:val="both"/>
        <w:rPr>
          <w:rFonts w:ascii="Arial" w:hAnsi="Arial" w:cs="Arial"/>
        </w:rPr>
      </w:pPr>
    </w:p>
    <w:p w14:paraId="75464274" w14:textId="77777777" w:rsidR="00A92887" w:rsidRDefault="00A92887" w:rsidP="00A92887">
      <w:pPr>
        <w:spacing w:after="0"/>
        <w:jc w:val="both"/>
        <w:rPr>
          <w:rFonts w:ascii="Arial" w:hAnsi="Arial" w:cs="Arial"/>
        </w:rPr>
      </w:pPr>
    </w:p>
    <w:p w14:paraId="20BF76ED" w14:textId="4E29D3E1" w:rsidR="00A92887" w:rsidRPr="000A6B30" w:rsidRDefault="00A92887" w:rsidP="00A92887">
      <w:pPr>
        <w:spacing w:after="0"/>
        <w:jc w:val="both"/>
        <w:rPr>
          <w:rFonts w:ascii="Arial" w:hAnsi="Arial" w:cs="Arial"/>
          <w:strike/>
        </w:rPr>
      </w:pPr>
      <w:r w:rsidRPr="000A6B30">
        <w:rPr>
          <w:rFonts w:ascii="Arial" w:hAnsi="Arial" w:cs="Arial"/>
          <w:strike/>
        </w:rPr>
        <w:t>Załącznik nr 1</w:t>
      </w:r>
      <w:r w:rsidR="00D46DE2" w:rsidRPr="000A6B30">
        <w:rPr>
          <w:rFonts w:ascii="Arial" w:hAnsi="Arial" w:cs="Arial"/>
          <w:strike/>
        </w:rPr>
        <w:t xml:space="preserve">. </w:t>
      </w:r>
    </w:p>
    <w:p w14:paraId="5ACC80B6" w14:textId="2F7B1ACA" w:rsidR="00A92887" w:rsidRPr="000A6B30" w:rsidRDefault="00A92887" w:rsidP="00A92887">
      <w:pPr>
        <w:spacing w:after="0"/>
        <w:jc w:val="both"/>
        <w:rPr>
          <w:rFonts w:ascii="Arial" w:hAnsi="Arial" w:cs="Arial"/>
          <w:strike/>
        </w:rPr>
      </w:pPr>
      <w:r w:rsidRPr="000A6B30">
        <w:rPr>
          <w:rFonts w:ascii="Arial" w:hAnsi="Arial" w:cs="Arial"/>
          <w:strike/>
        </w:rPr>
        <w:t>Wzór raportu z wymiarowania systemu informatycznego</w:t>
      </w:r>
    </w:p>
    <w:sectPr w:rsidR="00A92887" w:rsidRPr="000A6B30" w:rsidSect="001E1DEA">
      <w:footerReference w:type="default" r:id="rId8"/>
      <w:pgSz w:w="11906" w:h="16838"/>
      <w:pgMar w:top="1417" w:right="1417" w:bottom="1417" w:left="1418" w:header="709" w:footer="709" w:gutter="0"/>
      <w:pgBorders w:offsetFrom="page">
        <w:top w:val="single" w:sz="4" w:space="24" w:color="auto"/>
        <w:left w:val="single" w:sz="4" w:space="24" w:color="auto"/>
        <w:bottom w:val="single" w:sz="4" w:space="24" w:color="auto"/>
        <w:right w:val="single" w:sz="4" w:space="24" w:color="auto"/>
      </w:pgBorders>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892B8A" w14:textId="77777777" w:rsidR="00D9193C" w:rsidRDefault="00D9193C" w:rsidP="00BB2420">
      <w:pPr>
        <w:spacing w:after="0" w:line="240" w:lineRule="auto"/>
      </w:pPr>
      <w:r>
        <w:separator/>
      </w:r>
    </w:p>
  </w:endnote>
  <w:endnote w:type="continuationSeparator" w:id="0">
    <w:p w14:paraId="6758641E" w14:textId="77777777" w:rsidR="00D9193C" w:rsidRDefault="00D9193C" w:rsidP="00BB24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New Roman">
    <w:altName w:val="Arial Unicode MS"/>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654840"/>
      <w:docPartObj>
        <w:docPartGallery w:val="Page Numbers (Bottom of Page)"/>
        <w:docPartUnique/>
      </w:docPartObj>
    </w:sdtPr>
    <w:sdtEndPr/>
    <w:sdtContent>
      <w:sdt>
        <w:sdtPr>
          <w:id w:val="-1769616900"/>
          <w:docPartObj>
            <w:docPartGallery w:val="Page Numbers (Top of Page)"/>
            <w:docPartUnique/>
          </w:docPartObj>
        </w:sdtPr>
        <w:sdtEndPr/>
        <w:sdtContent>
          <w:p w14:paraId="17EEF4C9" w14:textId="497A84EB" w:rsidR="00606B81" w:rsidRDefault="00606B8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710FE">
              <w:rPr>
                <w:b/>
                <w:bCs/>
                <w:noProof/>
              </w:rPr>
              <w:t>2</w:t>
            </w:r>
            <w:r>
              <w:rPr>
                <w:b/>
                <w:bCs/>
                <w:sz w:val="24"/>
                <w:szCs w:val="24"/>
              </w:rPr>
              <w:fldChar w:fldCharType="end"/>
            </w:r>
            <w:r>
              <w:t xml:space="preserve"> z </w:t>
            </w:r>
            <w:r>
              <w:rPr>
                <w:b/>
                <w:bCs/>
                <w:noProof/>
              </w:rPr>
              <w:t>5</w:t>
            </w:r>
          </w:p>
        </w:sdtContent>
      </w:sdt>
    </w:sdtContent>
  </w:sdt>
  <w:p w14:paraId="402AEB21" w14:textId="77777777" w:rsidR="00606B81" w:rsidRDefault="00606B8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95643E" w14:textId="77777777" w:rsidR="00D9193C" w:rsidRDefault="00D9193C" w:rsidP="00BB2420">
      <w:pPr>
        <w:spacing w:after="0" w:line="240" w:lineRule="auto"/>
      </w:pPr>
      <w:r>
        <w:separator/>
      </w:r>
    </w:p>
  </w:footnote>
  <w:footnote w:type="continuationSeparator" w:id="0">
    <w:p w14:paraId="42DA3945" w14:textId="77777777" w:rsidR="00D9193C" w:rsidRDefault="00D9193C" w:rsidP="00BB2420">
      <w:pPr>
        <w:spacing w:after="0" w:line="240" w:lineRule="auto"/>
      </w:pPr>
      <w:r>
        <w:continuationSeparator/>
      </w:r>
    </w:p>
  </w:footnote>
  <w:footnote w:id="1">
    <w:p w14:paraId="30CF0ED2" w14:textId="77777777" w:rsidR="00606B81" w:rsidRDefault="00606B81" w:rsidP="006717C5">
      <w:pPr>
        <w:pStyle w:val="Tekstprzypisudolnego"/>
      </w:pPr>
      <w:r>
        <w:rPr>
          <w:rStyle w:val="Odwoanieprzypisudolnego"/>
        </w:rPr>
        <w:footnoteRef/>
      </w:r>
      <w:r>
        <w:t xml:space="preserve"> Sekcja dotyczy projektów realizowanych ze środków UE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D27A66"/>
    <w:multiLevelType w:val="hybridMultilevel"/>
    <w:tmpl w:val="C9684962"/>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1D1E5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9D84D2A"/>
    <w:multiLevelType w:val="hybridMultilevel"/>
    <w:tmpl w:val="21BCA2A6"/>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C85D7B"/>
    <w:multiLevelType w:val="hybridMultilevel"/>
    <w:tmpl w:val="2794BD04"/>
    <w:lvl w:ilvl="0" w:tplc="0415000F">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 w15:restartNumberingAfterBreak="0">
    <w:nsid w:val="189C5A33"/>
    <w:multiLevelType w:val="hybridMultilevel"/>
    <w:tmpl w:val="9DA423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0DA7B86"/>
    <w:multiLevelType w:val="hybridMultilevel"/>
    <w:tmpl w:val="1804B3FE"/>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9956BB4"/>
    <w:multiLevelType w:val="hybridMultilevel"/>
    <w:tmpl w:val="D23263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E8313E"/>
    <w:multiLevelType w:val="hybridMultilevel"/>
    <w:tmpl w:val="925C49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F481A66"/>
    <w:multiLevelType w:val="hybridMultilevel"/>
    <w:tmpl w:val="9DD45AAE"/>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3C12E92"/>
    <w:multiLevelType w:val="hybridMultilevel"/>
    <w:tmpl w:val="85244D2A"/>
    <w:lvl w:ilvl="0" w:tplc="9B86E2F0">
      <w:start w:val="1"/>
      <w:numFmt w:val="lowerLetter"/>
      <w:lvlText w:val="%1."/>
      <w:lvlJc w:val="left"/>
      <w:pPr>
        <w:ind w:left="720" w:hanging="360"/>
      </w:pPr>
      <w:rPr>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2B2684"/>
    <w:multiLevelType w:val="hybridMultilevel"/>
    <w:tmpl w:val="5FF6DED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E9354E6"/>
    <w:multiLevelType w:val="hybridMultilevel"/>
    <w:tmpl w:val="770EF7C4"/>
    <w:lvl w:ilvl="0" w:tplc="CAFC989E">
      <w:start w:val="1"/>
      <w:numFmt w:val="decimal"/>
      <w:lvlText w:val="%1."/>
      <w:lvlJc w:val="left"/>
      <w:pPr>
        <w:ind w:left="360" w:hanging="360"/>
      </w:pPr>
      <w:rPr>
        <w:rFonts w:eastAsiaTheme="majorEastAsia" w:hint="default"/>
        <w:b/>
        <w:i w:val="0"/>
        <w:color w:val="2E74B5" w:themeColor="accent1" w:themeShade="BF"/>
        <w:sz w:val="26"/>
        <w:szCs w:val="26"/>
      </w:rPr>
    </w:lvl>
    <w:lvl w:ilvl="1" w:tplc="04150019" w:tentative="1">
      <w:start w:val="1"/>
      <w:numFmt w:val="lowerLetter"/>
      <w:lvlText w:val="%2."/>
      <w:lvlJc w:val="left"/>
      <w:pPr>
        <w:ind w:left="2444" w:hanging="360"/>
      </w:pPr>
    </w:lvl>
    <w:lvl w:ilvl="2" w:tplc="0415001B" w:tentative="1">
      <w:start w:val="1"/>
      <w:numFmt w:val="lowerRoman"/>
      <w:lvlText w:val="%3."/>
      <w:lvlJc w:val="right"/>
      <w:pPr>
        <w:ind w:left="3164" w:hanging="180"/>
      </w:pPr>
    </w:lvl>
    <w:lvl w:ilvl="3" w:tplc="0415000F" w:tentative="1">
      <w:start w:val="1"/>
      <w:numFmt w:val="decimal"/>
      <w:lvlText w:val="%4."/>
      <w:lvlJc w:val="left"/>
      <w:pPr>
        <w:ind w:left="3884" w:hanging="360"/>
      </w:pPr>
    </w:lvl>
    <w:lvl w:ilvl="4" w:tplc="04150019" w:tentative="1">
      <w:start w:val="1"/>
      <w:numFmt w:val="lowerLetter"/>
      <w:lvlText w:val="%5."/>
      <w:lvlJc w:val="left"/>
      <w:pPr>
        <w:ind w:left="4604" w:hanging="360"/>
      </w:pPr>
    </w:lvl>
    <w:lvl w:ilvl="5" w:tplc="0415001B" w:tentative="1">
      <w:start w:val="1"/>
      <w:numFmt w:val="lowerRoman"/>
      <w:lvlText w:val="%6."/>
      <w:lvlJc w:val="right"/>
      <w:pPr>
        <w:ind w:left="5324" w:hanging="180"/>
      </w:pPr>
    </w:lvl>
    <w:lvl w:ilvl="6" w:tplc="0415000F" w:tentative="1">
      <w:start w:val="1"/>
      <w:numFmt w:val="decimal"/>
      <w:lvlText w:val="%7."/>
      <w:lvlJc w:val="left"/>
      <w:pPr>
        <w:ind w:left="6044" w:hanging="360"/>
      </w:pPr>
    </w:lvl>
    <w:lvl w:ilvl="7" w:tplc="04150019" w:tentative="1">
      <w:start w:val="1"/>
      <w:numFmt w:val="lowerLetter"/>
      <w:lvlText w:val="%8."/>
      <w:lvlJc w:val="left"/>
      <w:pPr>
        <w:ind w:left="6764" w:hanging="360"/>
      </w:pPr>
    </w:lvl>
    <w:lvl w:ilvl="8" w:tplc="0415001B" w:tentative="1">
      <w:start w:val="1"/>
      <w:numFmt w:val="lowerRoman"/>
      <w:lvlText w:val="%9."/>
      <w:lvlJc w:val="right"/>
      <w:pPr>
        <w:ind w:left="7484" w:hanging="180"/>
      </w:pPr>
    </w:lvl>
  </w:abstractNum>
  <w:abstractNum w:abstractNumId="12" w15:restartNumberingAfterBreak="0">
    <w:nsid w:val="42EB6558"/>
    <w:multiLevelType w:val="hybridMultilevel"/>
    <w:tmpl w:val="F3EE7C0C"/>
    <w:lvl w:ilvl="0" w:tplc="7FD0B4B2">
      <w:start w:val="1"/>
      <w:numFmt w:val="decimal"/>
      <w:lvlText w:val="%1."/>
      <w:lvlJc w:val="left"/>
      <w:pPr>
        <w:ind w:left="360" w:hanging="360"/>
      </w:pPr>
      <w:rPr>
        <w:rFonts w:asciiTheme="minorHAnsi" w:hAnsiTheme="minorHAnsi" w:hint="default"/>
        <w:b/>
        <w:i w:val="0"/>
        <w:color w:val="auto"/>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95A42E1"/>
    <w:multiLevelType w:val="hybridMultilevel"/>
    <w:tmpl w:val="00E00A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4C115A77"/>
    <w:multiLevelType w:val="hybridMultilevel"/>
    <w:tmpl w:val="8EFCBF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399528C"/>
    <w:multiLevelType w:val="hybridMultilevel"/>
    <w:tmpl w:val="63FAD47A"/>
    <w:lvl w:ilvl="0" w:tplc="FB1019F6">
      <w:start w:val="1"/>
      <w:numFmt w:val="decimal"/>
      <w:lvlText w:val="%1."/>
      <w:lvlJc w:val="left"/>
      <w:pPr>
        <w:ind w:left="502" w:hanging="360"/>
      </w:pPr>
      <w:rPr>
        <w:rFonts w:asciiTheme="minorHAnsi" w:hAnsiTheme="minorHAnsi" w:hint="default"/>
        <w:b/>
        <w:i w:val="0"/>
        <w:color w:val="2E74B5" w:themeColor="accent1" w:themeShade="BF"/>
        <w:sz w:val="26"/>
        <w:szCs w:val="2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6B40395"/>
    <w:multiLevelType w:val="hybridMultilevel"/>
    <w:tmpl w:val="B2C01894"/>
    <w:lvl w:ilvl="0" w:tplc="52946C88">
      <w:start w:val="1"/>
      <w:numFmt w:val="decimal"/>
      <w:lvlText w:val="%1."/>
      <w:lvlJc w:val="left"/>
      <w:pPr>
        <w:ind w:left="720" w:hanging="360"/>
      </w:pPr>
      <w:rPr>
        <w:rFonts w:hint="default"/>
        <w:i w:val="0"/>
        <w:color w:val="auto"/>
      </w:rPr>
    </w:lvl>
    <w:lvl w:ilvl="1" w:tplc="9B86E2F0">
      <w:start w:val="1"/>
      <w:numFmt w:val="lowerLetter"/>
      <w:lvlText w:val="%2."/>
      <w:lvlJc w:val="left"/>
      <w:pPr>
        <w:ind w:left="1440" w:hanging="360"/>
      </w:pPr>
      <w:rPr>
        <w:i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12F5C"/>
    <w:multiLevelType w:val="hybridMultilevel"/>
    <w:tmpl w:val="1CBA6DFC"/>
    <w:lvl w:ilvl="0" w:tplc="B314A624">
      <w:start w:val="3"/>
      <w:numFmt w:val="decimal"/>
      <w:lvlText w:val="%1."/>
      <w:lvlJc w:val="left"/>
      <w:pPr>
        <w:ind w:left="644" w:hanging="360"/>
      </w:pPr>
      <w:rPr>
        <w:rFonts w:eastAsiaTheme="majorEastAsia" w:hint="default"/>
        <w:b/>
        <w:i w:val="0"/>
        <w:color w:val="0070C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59B675D2"/>
    <w:multiLevelType w:val="hybridMultilevel"/>
    <w:tmpl w:val="5C92CCFC"/>
    <w:lvl w:ilvl="0" w:tplc="5926879C">
      <w:start w:val="1"/>
      <w:numFmt w:val="decimal"/>
      <w:lvlText w:val="%1."/>
      <w:lvlJc w:val="left"/>
      <w:pPr>
        <w:ind w:left="720" w:hanging="360"/>
      </w:pPr>
      <w:rPr>
        <w:rFonts w:asciiTheme="majorHAnsi" w:hAnsiTheme="majorHAnsi" w:cstheme="majorHAnsi" w:hint="default"/>
        <w:i w:val="0"/>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62B5227"/>
    <w:multiLevelType w:val="hybridMultilevel"/>
    <w:tmpl w:val="EDA6BC24"/>
    <w:lvl w:ilvl="0" w:tplc="0904601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12E33E4"/>
    <w:multiLevelType w:val="hybridMultilevel"/>
    <w:tmpl w:val="4C061BBC"/>
    <w:lvl w:ilvl="0" w:tplc="B4E668B4">
      <w:numFmt w:val="bullet"/>
      <w:lvlText w:val=""/>
      <w:lvlJc w:val="left"/>
      <w:pPr>
        <w:ind w:left="720" w:hanging="360"/>
      </w:pPr>
      <w:rPr>
        <w:rFonts w:ascii="Symbol" w:eastAsiaTheme="minorHAnsi" w:hAnsi="Symbol"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288099B"/>
    <w:multiLevelType w:val="hybridMultilevel"/>
    <w:tmpl w:val="4D365E36"/>
    <w:lvl w:ilvl="0" w:tplc="B314A624">
      <w:start w:val="3"/>
      <w:numFmt w:val="decimal"/>
      <w:lvlText w:val="%1."/>
      <w:lvlJc w:val="left"/>
      <w:pPr>
        <w:ind w:left="1364" w:hanging="360"/>
      </w:pPr>
      <w:rPr>
        <w:rFonts w:eastAsiaTheme="majorEastAsia" w:hint="default"/>
        <w:b/>
        <w:i w:val="0"/>
        <w:color w:val="0070C0"/>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2" w15:restartNumberingAfterBreak="0">
    <w:nsid w:val="768116DD"/>
    <w:multiLevelType w:val="hybridMultilevel"/>
    <w:tmpl w:val="87BA90CC"/>
    <w:lvl w:ilvl="0" w:tplc="04150001">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23" w15:restartNumberingAfterBreak="0">
    <w:nsid w:val="7A3B703A"/>
    <w:multiLevelType w:val="hybridMultilevel"/>
    <w:tmpl w:val="83C81B8A"/>
    <w:lvl w:ilvl="0" w:tplc="9B86E2F0">
      <w:start w:val="1"/>
      <w:numFmt w:val="lowerLetter"/>
      <w:lvlText w:val="%1."/>
      <w:lvlJc w:val="left"/>
      <w:pPr>
        <w:ind w:left="1800" w:hanging="360"/>
      </w:pPr>
      <w:rPr>
        <w:i w:val="0"/>
        <w:color w:val="auto"/>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num w:numId="1">
    <w:abstractNumId w:val="16"/>
  </w:num>
  <w:num w:numId="2">
    <w:abstractNumId w:val="3"/>
  </w:num>
  <w:num w:numId="3">
    <w:abstractNumId w:val="23"/>
  </w:num>
  <w:num w:numId="4">
    <w:abstractNumId w:val="13"/>
  </w:num>
  <w:num w:numId="5">
    <w:abstractNumId w:val="20"/>
  </w:num>
  <w:num w:numId="6">
    <w:abstractNumId w:val="4"/>
  </w:num>
  <w:num w:numId="7">
    <w:abstractNumId w:val="18"/>
  </w:num>
  <w:num w:numId="8">
    <w:abstractNumId w:val="0"/>
  </w:num>
  <w:num w:numId="9">
    <w:abstractNumId w:val="9"/>
  </w:num>
  <w:num w:numId="10">
    <w:abstractNumId w:val="5"/>
  </w:num>
  <w:num w:numId="11">
    <w:abstractNumId w:val="8"/>
  </w:num>
  <w:num w:numId="12">
    <w:abstractNumId w:val="19"/>
  </w:num>
  <w:num w:numId="13">
    <w:abstractNumId w:val="17"/>
  </w:num>
  <w:num w:numId="14">
    <w:abstractNumId w:val="2"/>
  </w:num>
  <w:num w:numId="15">
    <w:abstractNumId w:val="21"/>
  </w:num>
  <w:num w:numId="16">
    <w:abstractNumId w:val="11"/>
  </w:num>
  <w:num w:numId="17">
    <w:abstractNumId w:val="15"/>
  </w:num>
  <w:num w:numId="18">
    <w:abstractNumId w:val="14"/>
  </w:num>
  <w:num w:numId="19">
    <w:abstractNumId w:val="12"/>
  </w:num>
  <w:num w:numId="20">
    <w:abstractNumId w:val="22"/>
  </w:num>
  <w:num w:numId="21">
    <w:abstractNumId w:val="10"/>
  </w:num>
  <w:num w:numId="22">
    <w:abstractNumId w:val="6"/>
  </w:num>
  <w:num w:numId="23">
    <w:abstractNumId w:val="1"/>
  </w:num>
  <w:num w:numId="2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1B30"/>
    <w:rsid w:val="00003CB0"/>
    <w:rsid w:val="00006E59"/>
    <w:rsid w:val="00043DD9"/>
    <w:rsid w:val="00044D68"/>
    <w:rsid w:val="00047D9D"/>
    <w:rsid w:val="0006403E"/>
    <w:rsid w:val="00070663"/>
    <w:rsid w:val="00071880"/>
    <w:rsid w:val="00084E5B"/>
    <w:rsid w:val="00087231"/>
    <w:rsid w:val="00095944"/>
    <w:rsid w:val="000A1DFB"/>
    <w:rsid w:val="000A2F32"/>
    <w:rsid w:val="000A3938"/>
    <w:rsid w:val="000A6B30"/>
    <w:rsid w:val="000B3E49"/>
    <w:rsid w:val="000E0060"/>
    <w:rsid w:val="000E1828"/>
    <w:rsid w:val="000E4BF8"/>
    <w:rsid w:val="000F20A9"/>
    <w:rsid w:val="000F307B"/>
    <w:rsid w:val="000F30B9"/>
    <w:rsid w:val="0011693F"/>
    <w:rsid w:val="00122388"/>
    <w:rsid w:val="00124C3D"/>
    <w:rsid w:val="00125A80"/>
    <w:rsid w:val="00141A92"/>
    <w:rsid w:val="00145E84"/>
    <w:rsid w:val="0015102C"/>
    <w:rsid w:val="00153381"/>
    <w:rsid w:val="00176FBB"/>
    <w:rsid w:val="00181E97"/>
    <w:rsid w:val="00182A08"/>
    <w:rsid w:val="001A2EF2"/>
    <w:rsid w:val="001B4BB3"/>
    <w:rsid w:val="001C2D74"/>
    <w:rsid w:val="001C7FAC"/>
    <w:rsid w:val="001E0502"/>
    <w:rsid w:val="001E0CAC"/>
    <w:rsid w:val="001E16A3"/>
    <w:rsid w:val="001E1DEA"/>
    <w:rsid w:val="001E7199"/>
    <w:rsid w:val="001F24A0"/>
    <w:rsid w:val="001F67EC"/>
    <w:rsid w:val="00200819"/>
    <w:rsid w:val="0020330A"/>
    <w:rsid w:val="00237279"/>
    <w:rsid w:val="00240D69"/>
    <w:rsid w:val="00241B5E"/>
    <w:rsid w:val="00252087"/>
    <w:rsid w:val="00263392"/>
    <w:rsid w:val="00265194"/>
    <w:rsid w:val="00276C00"/>
    <w:rsid w:val="00293351"/>
    <w:rsid w:val="00294349"/>
    <w:rsid w:val="002A3C02"/>
    <w:rsid w:val="002A5452"/>
    <w:rsid w:val="002B4889"/>
    <w:rsid w:val="002B50C0"/>
    <w:rsid w:val="002B6F21"/>
    <w:rsid w:val="002D2911"/>
    <w:rsid w:val="002D3A60"/>
    <w:rsid w:val="002D3D4A"/>
    <w:rsid w:val="002D7ADA"/>
    <w:rsid w:val="002E2FAF"/>
    <w:rsid w:val="002E7B86"/>
    <w:rsid w:val="002F1EB2"/>
    <w:rsid w:val="002F29A3"/>
    <w:rsid w:val="002F2AA3"/>
    <w:rsid w:val="0030196F"/>
    <w:rsid w:val="00302775"/>
    <w:rsid w:val="00304D04"/>
    <w:rsid w:val="00310D8E"/>
    <w:rsid w:val="00312ACE"/>
    <w:rsid w:val="003221F2"/>
    <w:rsid w:val="00322614"/>
    <w:rsid w:val="00334A24"/>
    <w:rsid w:val="003410FE"/>
    <w:rsid w:val="003508E7"/>
    <w:rsid w:val="003542F1"/>
    <w:rsid w:val="00356A3E"/>
    <w:rsid w:val="00356CDA"/>
    <w:rsid w:val="003634BB"/>
    <w:rsid w:val="003642B8"/>
    <w:rsid w:val="00364B1E"/>
    <w:rsid w:val="00367796"/>
    <w:rsid w:val="003A4115"/>
    <w:rsid w:val="003A6FDC"/>
    <w:rsid w:val="003B4EA8"/>
    <w:rsid w:val="003B5B7A"/>
    <w:rsid w:val="003C7325"/>
    <w:rsid w:val="003D7DD0"/>
    <w:rsid w:val="003E3144"/>
    <w:rsid w:val="00405EA4"/>
    <w:rsid w:val="0041034F"/>
    <w:rsid w:val="004118A3"/>
    <w:rsid w:val="00423A26"/>
    <w:rsid w:val="00425046"/>
    <w:rsid w:val="004350B8"/>
    <w:rsid w:val="00444AAB"/>
    <w:rsid w:val="00450089"/>
    <w:rsid w:val="004568FB"/>
    <w:rsid w:val="004729D1"/>
    <w:rsid w:val="004C1D48"/>
    <w:rsid w:val="004D65CA"/>
    <w:rsid w:val="004E2F95"/>
    <w:rsid w:val="004F6E89"/>
    <w:rsid w:val="00505014"/>
    <w:rsid w:val="00506654"/>
    <w:rsid w:val="005076A1"/>
    <w:rsid w:val="00513213"/>
    <w:rsid w:val="00513CF2"/>
    <w:rsid w:val="00517F12"/>
    <w:rsid w:val="0052102C"/>
    <w:rsid w:val="005212C8"/>
    <w:rsid w:val="00524E6C"/>
    <w:rsid w:val="005332D6"/>
    <w:rsid w:val="00544DFE"/>
    <w:rsid w:val="005548F2"/>
    <w:rsid w:val="005710FE"/>
    <w:rsid w:val="005734CE"/>
    <w:rsid w:val="005840AB"/>
    <w:rsid w:val="00586098"/>
    <w:rsid w:val="00586664"/>
    <w:rsid w:val="00593290"/>
    <w:rsid w:val="005A0E33"/>
    <w:rsid w:val="005A12F7"/>
    <w:rsid w:val="005A1B30"/>
    <w:rsid w:val="005B1A32"/>
    <w:rsid w:val="005C0469"/>
    <w:rsid w:val="005C6116"/>
    <w:rsid w:val="005C77BB"/>
    <w:rsid w:val="005D17CF"/>
    <w:rsid w:val="005D24AF"/>
    <w:rsid w:val="005D5AAB"/>
    <w:rsid w:val="005D6E12"/>
    <w:rsid w:val="005E0ED8"/>
    <w:rsid w:val="005E6ABD"/>
    <w:rsid w:val="005E7155"/>
    <w:rsid w:val="005F41FA"/>
    <w:rsid w:val="00600AE4"/>
    <w:rsid w:val="006054AA"/>
    <w:rsid w:val="00606B81"/>
    <w:rsid w:val="0062054D"/>
    <w:rsid w:val="006303F1"/>
    <w:rsid w:val="006334BF"/>
    <w:rsid w:val="00635A54"/>
    <w:rsid w:val="00651CF3"/>
    <w:rsid w:val="00661A62"/>
    <w:rsid w:val="006717C5"/>
    <w:rsid w:val="006731D9"/>
    <w:rsid w:val="006822BC"/>
    <w:rsid w:val="006948D3"/>
    <w:rsid w:val="006A60AA"/>
    <w:rsid w:val="006B034F"/>
    <w:rsid w:val="006B5117"/>
    <w:rsid w:val="006C78AE"/>
    <w:rsid w:val="006E0CFA"/>
    <w:rsid w:val="006E6205"/>
    <w:rsid w:val="006F7AE7"/>
    <w:rsid w:val="00701800"/>
    <w:rsid w:val="00725708"/>
    <w:rsid w:val="00727CD1"/>
    <w:rsid w:val="00740A47"/>
    <w:rsid w:val="00746ABD"/>
    <w:rsid w:val="0077418F"/>
    <w:rsid w:val="00775C44"/>
    <w:rsid w:val="00776802"/>
    <w:rsid w:val="00785E08"/>
    <w:rsid w:val="007924CE"/>
    <w:rsid w:val="00795AFA"/>
    <w:rsid w:val="007A4742"/>
    <w:rsid w:val="007B0251"/>
    <w:rsid w:val="007C2F7E"/>
    <w:rsid w:val="007C6235"/>
    <w:rsid w:val="007C70D1"/>
    <w:rsid w:val="007D1990"/>
    <w:rsid w:val="007D2C34"/>
    <w:rsid w:val="007D38BD"/>
    <w:rsid w:val="007D3F21"/>
    <w:rsid w:val="007E341A"/>
    <w:rsid w:val="007F126F"/>
    <w:rsid w:val="007F223B"/>
    <w:rsid w:val="00803FBE"/>
    <w:rsid w:val="00805178"/>
    <w:rsid w:val="00806134"/>
    <w:rsid w:val="00811267"/>
    <w:rsid w:val="00830B70"/>
    <w:rsid w:val="008336EF"/>
    <w:rsid w:val="00840749"/>
    <w:rsid w:val="0085703A"/>
    <w:rsid w:val="00870A03"/>
    <w:rsid w:val="0087452F"/>
    <w:rsid w:val="00875528"/>
    <w:rsid w:val="00884686"/>
    <w:rsid w:val="008A332F"/>
    <w:rsid w:val="008A52F6"/>
    <w:rsid w:val="008A5DA1"/>
    <w:rsid w:val="008C4BCD"/>
    <w:rsid w:val="008C6721"/>
    <w:rsid w:val="008D3826"/>
    <w:rsid w:val="008F2D9B"/>
    <w:rsid w:val="008F67EE"/>
    <w:rsid w:val="00907F6D"/>
    <w:rsid w:val="00911190"/>
    <w:rsid w:val="0091332C"/>
    <w:rsid w:val="00915E9D"/>
    <w:rsid w:val="00923623"/>
    <w:rsid w:val="009256F2"/>
    <w:rsid w:val="00933BEC"/>
    <w:rsid w:val="009347B8"/>
    <w:rsid w:val="00936729"/>
    <w:rsid w:val="0095183B"/>
    <w:rsid w:val="00952126"/>
    <w:rsid w:val="00952617"/>
    <w:rsid w:val="00960A7E"/>
    <w:rsid w:val="009663A6"/>
    <w:rsid w:val="00971A40"/>
    <w:rsid w:val="00976434"/>
    <w:rsid w:val="009807A4"/>
    <w:rsid w:val="00990485"/>
    <w:rsid w:val="00992EA3"/>
    <w:rsid w:val="009967CA"/>
    <w:rsid w:val="009A17FF"/>
    <w:rsid w:val="009A6F98"/>
    <w:rsid w:val="009B4423"/>
    <w:rsid w:val="009C0693"/>
    <w:rsid w:val="009C60B5"/>
    <w:rsid w:val="009C6140"/>
    <w:rsid w:val="009D2FA4"/>
    <w:rsid w:val="009D5743"/>
    <w:rsid w:val="009D7D8A"/>
    <w:rsid w:val="009E4C67"/>
    <w:rsid w:val="009F09BF"/>
    <w:rsid w:val="009F1DC8"/>
    <w:rsid w:val="009F3AB8"/>
    <w:rsid w:val="009F437E"/>
    <w:rsid w:val="00A11788"/>
    <w:rsid w:val="00A30847"/>
    <w:rsid w:val="00A31715"/>
    <w:rsid w:val="00A36AE2"/>
    <w:rsid w:val="00A43E49"/>
    <w:rsid w:val="00A44EA2"/>
    <w:rsid w:val="00A56D63"/>
    <w:rsid w:val="00A67685"/>
    <w:rsid w:val="00A728AE"/>
    <w:rsid w:val="00A804AE"/>
    <w:rsid w:val="00A86449"/>
    <w:rsid w:val="00A87C1C"/>
    <w:rsid w:val="00A92887"/>
    <w:rsid w:val="00AA4CAB"/>
    <w:rsid w:val="00AA51AD"/>
    <w:rsid w:val="00AA730D"/>
    <w:rsid w:val="00AB2E01"/>
    <w:rsid w:val="00AC7E26"/>
    <w:rsid w:val="00AD4509"/>
    <w:rsid w:val="00AD45BB"/>
    <w:rsid w:val="00AD798C"/>
    <w:rsid w:val="00AE1643"/>
    <w:rsid w:val="00AE3A6C"/>
    <w:rsid w:val="00AF09B8"/>
    <w:rsid w:val="00AF567D"/>
    <w:rsid w:val="00B17709"/>
    <w:rsid w:val="00B23828"/>
    <w:rsid w:val="00B25812"/>
    <w:rsid w:val="00B41415"/>
    <w:rsid w:val="00B440C3"/>
    <w:rsid w:val="00B46B7D"/>
    <w:rsid w:val="00B50560"/>
    <w:rsid w:val="00B57E24"/>
    <w:rsid w:val="00B64B3C"/>
    <w:rsid w:val="00B673C6"/>
    <w:rsid w:val="00B74859"/>
    <w:rsid w:val="00B77F7B"/>
    <w:rsid w:val="00B87D3D"/>
    <w:rsid w:val="00B91243"/>
    <w:rsid w:val="00BA481C"/>
    <w:rsid w:val="00BB059E"/>
    <w:rsid w:val="00BB2420"/>
    <w:rsid w:val="00BB49AC"/>
    <w:rsid w:val="00BB5ACE"/>
    <w:rsid w:val="00BC1BD2"/>
    <w:rsid w:val="00BC6BE4"/>
    <w:rsid w:val="00BE47CD"/>
    <w:rsid w:val="00BE5BF9"/>
    <w:rsid w:val="00C1106C"/>
    <w:rsid w:val="00C26361"/>
    <w:rsid w:val="00C302F1"/>
    <w:rsid w:val="00C31361"/>
    <w:rsid w:val="00C3575F"/>
    <w:rsid w:val="00C42AEA"/>
    <w:rsid w:val="00C52D4A"/>
    <w:rsid w:val="00C57985"/>
    <w:rsid w:val="00C6751B"/>
    <w:rsid w:val="00C74E94"/>
    <w:rsid w:val="00C76731"/>
    <w:rsid w:val="00CA516B"/>
    <w:rsid w:val="00CC7E21"/>
    <w:rsid w:val="00CE61E6"/>
    <w:rsid w:val="00CE74F9"/>
    <w:rsid w:val="00CE7777"/>
    <w:rsid w:val="00CF2E64"/>
    <w:rsid w:val="00CF7843"/>
    <w:rsid w:val="00D02F6D"/>
    <w:rsid w:val="00D061A1"/>
    <w:rsid w:val="00D10E2F"/>
    <w:rsid w:val="00D16403"/>
    <w:rsid w:val="00D22C21"/>
    <w:rsid w:val="00D25CFE"/>
    <w:rsid w:val="00D4607F"/>
    <w:rsid w:val="00D46DE2"/>
    <w:rsid w:val="00D57025"/>
    <w:rsid w:val="00D57765"/>
    <w:rsid w:val="00D77F50"/>
    <w:rsid w:val="00D859F4"/>
    <w:rsid w:val="00D85A52"/>
    <w:rsid w:val="00D86FEC"/>
    <w:rsid w:val="00D915DD"/>
    <w:rsid w:val="00D9193C"/>
    <w:rsid w:val="00DA3173"/>
    <w:rsid w:val="00DA34DF"/>
    <w:rsid w:val="00DB1DFE"/>
    <w:rsid w:val="00DB69FD"/>
    <w:rsid w:val="00DC0A8A"/>
    <w:rsid w:val="00DC1705"/>
    <w:rsid w:val="00DC39A9"/>
    <w:rsid w:val="00DC4C79"/>
    <w:rsid w:val="00DE6249"/>
    <w:rsid w:val="00DE731D"/>
    <w:rsid w:val="00DF5D76"/>
    <w:rsid w:val="00E0076D"/>
    <w:rsid w:val="00E11B44"/>
    <w:rsid w:val="00E15DEB"/>
    <w:rsid w:val="00E1688D"/>
    <w:rsid w:val="00E203EB"/>
    <w:rsid w:val="00E35401"/>
    <w:rsid w:val="00E375DB"/>
    <w:rsid w:val="00E42938"/>
    <w:rsid w:val="00E47508"/>
    <w:rsid w:val="00E55EB0"/>
    <w:rsid w:val="00E57BB7"/>
    <w:rsid w:val="00E61CB0"/>
    <w:rsid w:val="00E710E1"/>
    <w:rsid w:val="00E71256"/>
    <w:rsid w:val="00E71BCF"/>
    <w:rsid w:val="00E73FA4"/>
    <w:rsid w:val="00E81D7C"/>
    <w:rsid w:val="00E83FA4"/>
    <w:rsid w:val="00E86020"/>
    <w:rsid w:val="00EA0B4F"/>
    <w:rsid w:val="00EA3BC1"/>
    <w:rsid w:val="00EB3273"/>
    <w:rsid w:val="00EC2AFC"/>
    <w:rsid w:val="00F138F7"/>
    <w:rsid w:val="00F2008A"/>
    <w:rsid w:val="00F21D9E"/>
    <w:rsid w:val="00F25348"/>
    <w:rsid w:val="00F42845"/>
    <w:rsid w:val="00F45506"/>
    <w:rsid w:val="00F60062"/>
    <w:rsid w:val="00F613CC"/>
    <w:rsid w:val="00F76777"/>
    <w:rsid w:val="00F83F2F"/>
    <w:rsid w:val="00F86555"/>
    <w:rsid w:val="00F86C58"/>
    <w:rsid w:val="00FA66A6"/>
    <w:rsid w:val="00FC3704"/>
    <w:rsid w:val="00FC3B03"/>
    <w:rsid w:val="00FF03A2"/>
    <w:rsid w:val="00FF22C4"/>
    <w:rsid w:val="00FF6C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7E849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33BEC"/>
  </w:style>
  <w:style w:type="paragraph" w:styleId="Nagwek1">
    <w:name w:val="heading 1"/>
    <w:basedOn w:val="Normalny"/>
    <w:next w:val="Normalny"/>
    <w:link w:val="Nagwek1Znak"/>
    <w:uiPriority w:val="99"/>
    <w:qFormat/>
    <w:rsid w:val="009E4C6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iPriority w:val="9"/>
    <w:unhideWhenUsed/>
    <w:qFormat/>
    <w:rsid w:val="009E4C67"/>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0F30B9"/>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77418F"/>
    <w:pPr>
      <w:ind w:left="720"/>
      <w:contextualSpacing/>
    </w:pPr>
  </w:style>
  <w:style w:type="character" w:styleId="Odwoaniedokomentarza">
    <w:name w:val="annotation reference"/>
    <w:basedOn w:val="Domylnaczcionkaakapitu"/>
    <w:uiPriority w:val="99"/>
    <w:unhideWhenUsed/>
    <w:rsid w:val="001C2D74"/>
    <w:rPr>
      <w:sz w:val="16"/>
      <w:szCs w:val="16"/>
    </w:rPr>
  </w:style>
  <w:style w:type="paragraph" w:styleId="Tekstkomentarza">
    <w:name w:val="annotation text"/>
    <w:basedOn w:val="Normalny"/>
    <w:link w:val="TekstkomentarzaZnak"/>
    <w:uiPriority w:val="99"/>
    <w:unhideWhenUsed/>
    <w:rsid w:val="001C2D74"/>
    <w:pPr>
      <w:spacing w:line="240" w:lineRule="auto"/>
    </w:pPr>
    <w:rPr>
      <w:sz w:val="20"/>
      <w:szCs w:val="20"/>
    </w:rPr>
  </w:style>
  <w:style w:type="character" w:customStyle="1" w:styleId="TekstkomentarzaZnak">
    <w:name w:val="Tekst komentarza Znak"/>
    <w:basedOn w:val="Domylnaczcionkaakapitu"/>
    <w:link w:val="Tekstkomentarza"/>
    <w:uiPriority w:val="99"/>
    <w:rsid w:val="001C2D74"/>
    <w:rPr>
      <w:sz w:val="20"/>
      <w:szCs w:val="20"/>
    </w:rPr>
  </w:style>
  <w:style w:type="paragraph" w:styleId="Tematkomentarza">
    <w:name w:val="annotation subject"/>
    <w:basedOn w:val="Tekstkomentarza"/>
    <w:next w:val="Tekstkomentarza"/>
    <w:link w:val="TematkomentarzaZnak"/>
    <w:uiPriority w:val="99"/>
    <w:semiHidden/>
    <w:unhideWhenUsed/>
    <w:rsid w:val="001C2D74"/>
    <w:rPr>
      <w:b/>
      <w:bCs/>
    </w:rPr>
  </w:style>
  <w:style w:type="character" w:customStyle="1" w:styleId="TematkomentarzaZnak">
    <w:name w:val="Temat komentarza Znak"/>
    <w:basedOn w:val="TekstkomentarzaZnak"/>
    <w:link w:val="Tematkomentarza"/>
    <w:uiPriority w:val="99"/>
    <w:semiHidden/>
    <w:rsid w:val="001C2D74"/>
    <w:rPr>
      <w:b/>
      <w:bCs/>
      <w:sz w:val="20"/>
      <w:szCs w:val="20"/>
    </w:rPr>
  </w:style>
  <w:style w:type="paragraph" w:styleId="Tekstdymka">
    <w:name w:val="Balloon Text"/>
    <w:basedOn w:val="Normalny"/>
    <w:link w:val="TekstdymkaZnak"/>
    <w:uiPriority w:val="99"/>
    <w:semiHidden/>
    <w:unhideWhenUsed/>
    <w:rsid w:val="001C2D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C2D74"/>
    <w:rPr>
      <w:rFonts w:ascii="Segoe UI" w:hAnsi="Segoe UI" w:cs="Segoe UI"/>
      <w:sz w:val="18"/>
      <w:szCs w:val="18"/>
    </w:rPr>
  </w:style>
  <w:style w:type="table" w:styleId="Tabela-Siatka">
    <w:name w:val="Table Grid"/>
    <w:basedOn w:val="Standardowy"/>
    <w:uiPriority w:val="39"/>
    <w:rsid w:val="00C42A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basedOn w:val="Normalny"/>
    <w:link w:val="TekstprzypisudolnegoZnak"/>
    <w:uiPriority w:val="99"/>
    <w:semiHidden/>
    <w:unhideWhenUsed/>
    <w:rsid w:val="00BB242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B2420"/>
    <w:rPr>
      <w:sz w:val="20"/>
      <w:szCs w:val="20"/>
    </w:rPr>
  </w:style>
  <w:style w:type="character" w:styleId="Odwoanieprzypisudolnego">
    <w:name w:val="footnote reference"/>
    <w:basedOn w:val="Domylnaczcionkaakapitu"/>
    <w:uiPriority w:val="99"/>
    <w:semiHidden/>
    <w:unhideWhenUsed/>
    <w:rsid w:val="00BB2420"/>
    <w:rPr>
      <w:vertAlign w:val="superscript"/>
    </w:rPr>
  </w:style>
  <w:style w:type="character" w:customStyle="1" w:styleId="Nagwek1Znak">
    <w:name w:val="Nagłówek 1 Znak"/>
    <w:basedOn w:val="Domylnaczcionkaakapitu"/>
    <w:link w:val="Nagwek1"/>
    <w:uiPriority w:val="99"/>
    <w:rsid w:val="009E4C67"/>
    <w:rPr>
      <w:rFonts w:asciiTheme="majorHAnsi" w:eastAsiaTheme="majorEastAsia" w:hAnsiTheme="majorHAnsi" w:cstheme="majorBidi"/>
      <w:color w:val="2E74B5" w:themeColor="accent1" w:themeShade="BF"/>
      <w:sz w:val="32"/>
      <w:szCs w:val="32"/>
    </w:rPr>
  </w:style>
  <w:style w:type="character" w:customStyle="1" w:styleId="Nagwek2Znak">
    <w:name w:val="Nagłówek 2 Znak"/>
    <w:basedOn w:val="Domylnaczcionkaakapitu"/>
    <w:link w:val="Nagwek2"/>
    <w:uiPriority w:val="9"/>
    <w:rsid w:val="009E4C67"/>
    <w:rPr>
      <w:rFonts w:asciiTheme="majorHAnsi" w:eastAsiaTheme="majorEastAsia" w:hAnsiTheme="majorHAnsi" w:cstheme="majorBidi"/>
      <w:color w:val="2E74B5" w:themeColor="accent1" w:themeShade="BF"/>
      <w:sz w:val="26"/>
      <w:szCs w:val="26"/>
    </w:rPr>
  </w:style>
  <w:style w:type="character" w:customStyle="1" w:styleId="Nagwek3Znak">
    <w:name w:val="Nagłówek 3 Znak"/>
    <w:basedOn w:val="Domylnaczcionkaakapitu"/>
    <w:link w:val="Nagwek3"/>
    <w:uiPriority w:val="9"/>
    <w:rsid w:val="000F30B9"/>
    <w:rPr>
      <w:rFonts w:asciiTheme="majorHAnsi" w:eastAsiaTheme="majorEastAsia" w:hAnsiTheme="majorHAnsi" w:cstheme="majorBidi"/>
      <w:color w:val="1F4D78" w:themeColor="accent1" w:themeShade="7F"/>
      <w:sz w:val="24"/>
      <w:szCs w:val="24"/>
    </w:rPr>
  </w:style>
  <w:style w:type="paragraph" w:styleId="Nagwek">
    <w:name w:val="header"/>
    <w:basedOn w:val="Normalny"/>
    <w:link w:val="NagwekZnak"/>
    <w:uiPriority w:val="99"/>
    <w:unhideWhenUsed/>
    <w:rsid w:val="005C77B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77BB"/>
  </w:style>
  <w:style w:type="paragraph" w:styleId="Stopka">
    <w:name w:val="footer"/>
    <w:basedOn w:val="Normalny"/>
    <w:link w:val="StopkaZnak"/>
    <w:uiPriority w:val="99"/>
    <w:unhideWhenUsed/>
    <w:rsid w:val="005C77B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77BB"/>
  </w:style>
  <w:style w:type="paragraph" w:customStyle="1" w:styleId="Bodytext1blueitalic">
    <w:name w:val="Body text 1 + blue + italic"/>
    <w:basedOn w:val="Normalny"/>
    <w:autoRedefine/>
    <w:qFormat/>
    <w:rsid w:val="002B6F21"/>
    <w:pPr>
      <w:framePr w:hSpace="181" w:wrap="around" w:vAnchor="text" w:hAnchor="page" w:xAlign="center" w:y="1"/>
      <w:widowControl w:val="0"/>
      <w:spacing w:before="240" w:after="240" w:line="240" w:lineRule="auto"/>
      <w:ind w:left="360"/>
      <w:suppressOverlap/>
    </w:pPr>
    <w:rPr>
      <w:rFonts w:ascii="Times New Roman" w:eastAsia="Times New Roman" w:hAnsi="Times New Roman" w:cs="Times New Roman"/>
      <w:iCs/>
      <w:color w:val="0070C0"/>
      <w:sz w:val="24"/>
      <w:szCs w:val="24"/>
      <w:lang w:val="en-GB"/>
    </w:rPr>
  </w:style>
  <w:style w:type="paragraph" w:customStyle="1" w:styleId="BodyText1">
    <w:name w:val="Body Text 1"/>
    <w:basedOn w:val="Normalny"/>
    <w:link w:val="BodyText1Char"/>
    <w:autoRedefine/>
    <w:qFormat/>
    <w:rsid w:val="002B6F21"/>
    <w:pPr>
      <w:framePr w:hSpace="181" w:wrap="around" w:vAnchor="text" w:hAnchor="margin" w:y="530"/>
      <w:widowControl w:val="0"/>
      <w:spacing w:before="240" w:after="240" w:line="240" w:lineRule="auto"/>
      <w:ind w:left="360"/>
      <w:suppressOverlap/>
    </w:pPr>
    <w:rPr>
      <w:rFonts w:ascii="Arial" w:eastAsia="Times New Roman" w:hAnsi="Arial" w:cs="Arial"/>
      <w:b/>
      <w:iCs/>
      <w:color w:val="0070C0"/>
    </w:rPr>
  </w:style>
  <w:style w:type="character" w:customStyle="1" w:styleId="BodyText1Char">
    <w:name w:val="Body Text 1 Char"/>
    <w:basedOn w:val="Domylnaczcionkaakapitu"/>
    <w:link w:val="BodyText1"/>
    <w:rsid w:val="002B6F21"/>
    <w:rPr>
      <w:rFonts w:ascii="Arial" w:eastAsia="Times New Roman" w:hAnsi="Arial" w:cs="Arial"/>
      <w:b/>
      <w:iCs/>
      <w:color w:val="0070C0"/>
    </w:rPr>
  </w:style>
  <w:style w:type="paragraph" w:styleId="Tekstpodstawowy2">
    <w:name w:val="Body Text 2"/>
    <w:basedOn w:val="Normalny"/>
    <w:link w:val="Tekstpodstawowy2Znak"/>
    <w:rsid w:val="006A60AA"/>
    <w:pPr>
      <w:spacing w:after="120" w:line="240" w:lineRule="auto"/>
      <w:ind w:left="900"/>
    </w:pPr>
    <w:rPr>
      <w:rFonts w:ascii="Arial" w:eastAsia="Times New Roman" w:hAnsi="Arial" w:cs="Times New Roman"/>
      <w:sz w:val="24"/>
      <w:szCs w:val="24"/>
      <w:lang w:val="en-US"/>
    </w:rPr>
  </w:style>
  <w:style w:type="character" w:customStyle="1" w:styleId="Tekstpodstawowy2Znak">
    <w:name w:val="Tekst podstawowy 2 Znak"/>
    <w:basedOn w:val="Domylnaczcionkaakapitu"/>
    <w:link w:val="Tekstpodstawowy2"/>
    <w:rsid w:val="006A60AA"/>
    <w:rPr>
      <w:rFonts w:ascii="Arial" w:eastAsia="Times New Roman" w:hAnsi="Arial" w:cs="Times New Roman"/>
      <w:sz w:val="24"/>
      <w:szCs w:val="24"/>
      <w:lang w:val="en-US"/>
    </w:rPr>
  </w:style>
  <w:style w:type="paragraph" w:styleId="Legenda">
    <w:name w:val="caption"/>
    <w:basedOn w:val="Normalny"/>
    <w:next w:val="Normalny"/>
    <w:uiPriority w:val="99"/>
    <w:qFormat/>
    <w:rsid w:val="0091332C"/>
    <w:pPr>
      <w:widowControl w:val="0"/>
      <w:suppressAutoHyphens/>
      <w:spacing w:after="0" w:line="240" w:lineRule="auto"/>
    </w:pPr>
    <w:rPr>
      <w:rFonts w:ascii="Times New Roman" w:eastAsia="Arial Unicode MS" w:hAnsi="Times New Roman" w:cs="Times New Roman"/>
      <w:b/>
      <w:bCs/>
      <w:kern w:val="1"/>
      <w:sz w:val="24"/>
      <w:szCs w:val="24"/>
    </w:rPr>
  </w:style>
  <w:style w:type="paragraph" w:styleId="Tekstpodstawowy">
    <w:name w:val="Body Text"/>
    <w:basedOn w:val="Normalny"/>
    <w:link w:val="TekstpodstawowyZnak"/>
    <w:uiPriority w:val="99"/>
    <w:semiHidden/>
    <w:unhideWhenUsed/>
    <w:rsid w:val="00AE1643"/>
    <w:pPr>
      <w:spacing w:after="120"/>
    </w:pPr>
  </w:style>
  <w:style w:type="character" w:customStyle="1" w:styleId="TekstpodstawowyZnak">
    <w:name w:val="Tekst podstawowy Znak"/>
    <w:basedOn w:val="Domylnaczcionkaakapitu"/>
    <w:link w:val="Tekstpodstawowy"/>
    <w:uiPriority w:val="99"/>
    <w:semiHidden/>
    <w:rsid w:val="00AE16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0715871">
      <w:bodyDiv w:val="1"/>
      <w:marLeft w:val="0"/>
      <w:marRight w:val="0"/>
      <w:marTop w:val="0"/>
      <w:marBottom w:val="0"/>
      <w:divBdr>
        <w:top w:val="none" w:sz="0" w:space="0" w:color="auto"/>
        <w:left w:val="none" w:sz="0" w:space="0" w:color="auto"/>
        <w:bottom w:val="none" w:sz="0" w:space="0" w:color="auto"/>
        <w:right w:val="none" w:sz="0" w:space="0" w:color="auto"/>
      </w:divBdr>
    </w:div>
    <w:div w:id="1142306403">
      <w:bodyDiv w:val="1"/>
      <w:marLeft w:val="0"/>
      <w:marRight w:val="0"/>
      <w:marTop w:val="0"/>
      <w:marBottom w:val="0"/>
      <w:divBdr>
        <w:top w:val="none" w:sz="0" w:space="0" w:color="auto"/>
        <w:left w:val="none" w:sz="0" w:space="0" w:color="auto"/>
        <w:bottom w:val="none" w:sz="0" w:space="0" w:color="auto"/>
        <w:right w:val="none" w:sz="0" w:space="0" w:color="auto"/>
      </w:divBdr>
    </w:div>
    <w:div w:id="117214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67FA0-1243-4F53-B1A0-175668D622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1636</Words>
  <Characters>9817</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2020-02-25T08:20:00Z</dcterms:created>
  <dcterms:modified xsi:type="dcterms:W3CDTF">2020-03-25T13:53:00Z</dcterms:modified>
</cp:coreProperties>
</file>